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Highlights</w:t>
      </w:r>
    </w:p>
    <w:p>
      <w:pPr>
        <w:pStyle w:val="ListBullet"/>
      </w:pPr>
      <w:r>
        <w:rPr>
          <w:rFonts w:ascii="Times New Roman" w:hAnsi="Times New Roman"/>
          <w:sz w:val="22"/>
        </w:rPr>
        <w:t>Exact MILPs recover sharp ordinal rank endpoints without sampling.</w:t>
      </w:r>
    </w:p>
    <w:p>
      <w:pPr>
        <w:pStyle w:val="ListBullet"/>
      </w:pPr>
      <w:r>
        <w:rPr>
          <w:rFonts w:ascii="Times New Roman" w:hAnsi="Times New Roman"/>
          <w:sz w:val="22"/>
        </w:rPr>
        <w:t>Joint-set coverage replaces marginal projection-box coverage.</w:t>
      </w:r>
    </w:p>
    <w:p>
      <w:pPr>
        <w:pStyle w:val="ListBullet"/>
      </w:pPr>
      <w:r>
        <w:rPr>
          <w:rFonts w:ascii="Times New Roman" w:hAnsi="Times New Roman"/>
          <w:sz w:val="22"/>
        </w:rPr>
        <w:t>Elimination misspecification trades coverage for identified-set width.</w:t>
      </w:r>
    </w:p>
    <w:p>
      <w:pPr>
        <w:pStyle w:val="ListBullet"/>
      </w:pPr>
      <w:r>
        <w:rPr>
          <w:rFonts w:ascii="Times New Roman" w:hAnsi="Times New Roman"/>
          <w:sz w:val="22"/>
        </w:rPr>
        <w:t>Bayesian rectangles and identified sets retain distinct semantics.</w:t>
      </w:r>
    </w:p>
    <w:p>
      <w:pPr>
        <w:pStyle w:val="ListBullet"/>
      </w:pPr>
      <w:r>
        <w:rPr>
          <w:rFonts w:ascii="Times New Roman" w:hAnsi="Times New Roman"/>
          <w:sz w:val="22"/>
        </w:rPr>
        <w:t>Season-28 rule uncertainty is reported in a sensitivity analysis.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Coverage-Width Tradeoffs in Rule-Constrained Expert-Crowd Aggregation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