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Cover Letter</w:t>
      </w:r>
    </w:p>
    <w:p>
      <w:r>
        <w:rPr>
          <w:rFonts w:ascii="Times New Roman" w:hAnsi="Times New Roman"/>
          <w:sz w:val="22"/>
        </w:rPr>
        <w:t>Dear Editors of *Mathematics and Computers in Simulation*,</w:t>
      </w:r>
    </w:p>
    <w:p>
      <w:r>
        <w:rPr>
          <w:rFonts w:ascii="Times New Roman" w:hAnsi="Times New Roman"/>
          <w:sz w:val="22"/>
        </w:rPr>
        <w:t>Please consider the manuscript “Coverage-Width Tradeoffs in Rule-Constrained Expert-Crowd Aggregation” as a Research Article.</w:t>
      </w:r>
    </w:p>
    <w:p>
      <w:r>
        <w:rPr>
          <w:rFonts w:ascii="Times New Roman" w:hAnsi="Times New Roman"/>
          <w:sz w:val="22"/>
        </w:rPr>
        <w:t>The revision strengthens the paper's computational and simulation methodology. It introduces and verifies an exact binary-optimization algorithm for sharp ordinal rank-support endpoints, replaces marginal projection-box coverage with joint feasible-set membership, reports performance-specific Monte Carlo standard errors and paired uncertainty, formalizes tie-inclusive bottom sets and multiple-elimination semantics, and adds a rule-provenance sensitivity for the uncertain season-28 rank-return assumption. Across positive-noise paired replications, the corrected joint-set coverage change from removing elimination is 0.117600 (MCSE 0.001519); the prior projection-envelope calculation was 0.050289. The exact endpoint analysis covers 87 empirical weeks with 2,964 primary-policy solver calls.</w:t>
      </w:r>
    </w:p>
    <w:p>
      <w:r>
        <w:rPr>
          <w:rFonts w:ascii="Times New Roman" w:hAnsi="Times New Roman"/>
          <w:sz w:val="22"/>
        </w:rPr>
        <w:t>The manuscript now engages directly with possible/necessary-winner, partial-preference, robust-winner, and Bayesian partial-identification literature. It distinguishes identified sets from 95% equal-tail Bayesian credible rectangles and does not claim observed audience-vote recovery, universal method superiority, deployed user effects, or a general worst-case complexity theorem.</w:t>
      </w:r>
    </w:p>
    <w:p>
      <w:r>
        <w:rPr>
          <w:rFonts w:ascii="Times New Roman" w:hAnsi="Times New Roman"/>
          <w:sz w:val="22"/>
        </w:rPr>
        <w:t xml:space="preserve">The work is original, is not under consideration elsewhere, and has been approved by all authors. The authors declare no competing interests. The empirical source is public and all corrected calculations are generated by command-line scripts. The corrected Stage 32 code and evidence are available at the versioned public release </w:t>
      </w:r>
      <w:r>
        <w:rPr>
          <w:rFonts w:ascii="Times New Roman" w:hAnsi="Times New Roman"/>
          <w:b/>
          <w:sz w:val="22"/>
        </w:rPr>
        <w:t>ttps://github.com/denglizhen-113/coverage-width-tradeoffs-rule-constrained-aggregation/releases/tag/matcom-stage32-v1.0.</w:t>
      </w:r>
      <w:r>
        <w:rPr>
          <w:rFonts w:ascii="Times New Roman" w:hAnsi="Times New Roman"/>
          <w:sz w:val="22"/>
        </w:rPr>
        <w:t>; a persistent DOI archive is not claimed.</w:t>
      </w:r>
    </w:p>
    <w:p>
      <w:r>
        <w:rPr>
          <w:rFonts w:ascii="Times New Roman" w:hAnsi="Times New Roman"/>
          <w:sz w:val="22"/>
        </w:rPr>
        <w:t>Sincerely,</w:t>
      </w:r>
    </w:p>
    <w:p>
      <w:r>
        <w:rPr>
          <w:rFonts w:ascii="Times New Roman" w:hAnsi="Times New Roman"/>
          <w:sz w:val="22"/>
        </w:rPr>
        <w:t>Lizhen Deng Corresponding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Coverage-Width Tradeoffs in Rule-Constrained Expert-Crowd Aggregation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