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Coverage-Width Tradeoffs in Rule-Constrained Expert-Crowd Aggregation</w:t>
      </w:r>
    </w:p>
    <w:p>
      <w:pPr>
        <w:pStyle w:val="Heading1"/>
      </w:pPr>
      <w:r>
        <w:t>Abstract</w:t>
      </w:r>
    </w:p>
    <w:p>
      <w:r>
        <w:rPr>
          <w:rFonts w:ascii="Times New Roman" w:hAnsi="Times New Roman"/>
          <w:sz w:val="22"/>
        </w:rPr>
        <w:t>Institutional expert-crowd systems often reveal expert scores and coarse outcomes while public preferences remain latent. We formulate cardinal identified polytopes for percentage aggregation and ordinal feasible-ranking sets for rank aggregation with judge-save discretion. Two corrections sharpen the computational methodology. First, known-truth coverage of a polytope is evaluated by joint constraint membership rather than membership in the Cartesian product of its coordinate projections. Second, sharp ordinal rank endpoints are obtained by binary linear optimization instead of extrema of sampled permutations. The endpoint formulation uses 2,964 solver calls for 87 empirical weeks under the primary tie policy and agrees with complete enumeration in all small-field verification cases. Across 45,000 positive-noise paired internal replications, removing the elimination constraint increases joint-set coverage by 0.117600 (MCSE 0.001519) and mean coordinate width by 0.163131 (MCSE 0.000302). The former projection-box calculation understated the coverage change as 0.050289. Same-information Bayesian comparisons remain conditional on a 95% equal-tail posterior construction and a stated prior; Bayesian credible rectangles and identified sets are reported as different inferential objects. The contribution is an exact, auditable inverse-rule methodology and a bounded simulation study, not recovery of an observed audience vote or a claim of uniform method superiority.</w:t>
      </w:r>
    </w:p>
    <w:p>
      <w:r>
        <w:rPr>
          <w:rFonts w:ascii="Times New Roman" w:hAnsi="Times New Roman"/>
          <w:b/>
          <w:sz w:val="22"/>
        </w:rPr>
        <w:t>Keywords:</w:t>
      </w:r>
      <w:r>
        <w:rPr>
          <w:rFonts w:ascii="Times New Roman" w:hAnsi="Times New Roman"/>
          <w:sz w:val="22"/>
        </w:rPr>
        <w:t xml:space="preserve"> Expert-crowd aggregation; partial identification; exact rank support; mixed-integer optimization; latent public preference; simulation.</w:t>
      </w:r>
    </w:p>
    <w:p>
      <w:pPr>
        <w:pStyle w:val="Heading1"/>
      </w:pPr>
      <w:r>
        <w:t>1. Introduction</w:t>
      </w:r>
    </w:p>
    <w:p>
      <w:r>
        <w:rPr>
          <w:rFonts w:ascii="Times New Roman" w:hAnsi="Times New Roman"/>
          <w:sz w:val="22"/>
        </w:rPr>
        <w:t>Many decision systems combine an expert component with an unobserved public component and disclose only the aggregate consequence. The inverse problem is therefore set-valued: which latent public states are compatible with the expert record, the stated aggregation rule, and the observed outcome? We study this problem for percentage aggregation and rank aggregation with judge-save discretion. The competition record is an empirical testbed for a general class of expert-crowd systems; it is not treated as a source of observed audience votes.</w:t>
      </w:r>
    </w:p>
    <w:p>
      <w:r>
        <w:rPr>
          <w:rFonts w:ascii="Times New Roman" w:hAnsi="Times New Roman"/>
          <w:sz w:val="22"/>
        </w:rPr>
        <w:t>The paper makes three contributions. First, it gives an exact binary-optimization formulation for sharp attainable public-rank endpoints under tie-inclusive bottom-set rules. This replaces the earlier practice of reading support extrema from a finite permutation sample. Second, it distinguishes joint identified-set coverage from coverage of marginal projection intervals and recomputes the misspecification experiment with metric-matched Monte Carlo uncertainty. Third, it states the boundary between identified sets and Bayesian credible rectangles, reports every undefined posterior region, and treats the uncertain season-28 rule assignment as a sensitivity assumption.</w:t>
      </w:r>
    </w:p>
    <w:p>
      <w:r>
        <w:rPr>
          <w:rFonts w:ascii="Times New Roman" w:hAnsi="Times New Roman"/>
          <w:sz w:val="22"/>
        </w:rPr>
        <w:t>These contributions are narrower than the general possible-winner problem. We do not claim a new dichotomy for arbitrary voting rules. The special structure here consists of one hidden aggregate public ranking, one observed expert ranking, and an observed bottom-set implication. That structure admits a compact assignment MILP for support endpoints even though exact feasible-set counting may remain combinatorial.</w:t>
      </w:r>
    </w:p>
    <w:p>
      <w:pPr>
        <w:pStyle w:val="Heading1"/>
      </w:pPr>
      <w:r>
        <w:t>2. Related work and novelty boundary</w:t>
      </w:r>
    </w:p>
    <w:p>
      <w:r>
        <w:rPr>
          <w:rFonts w:ascii="Times New Roman" w:hAnsi="Times New Roman"/>
          <w:sz w:val="22"/>
        </w:rPr>
        <w:t>Partial identification separates data-consistent parameter sets from point recovery [1-4]. Bayesian credible sets in partially identified models have different semantics from estimated identified sets; Moon and Schorfheide recommend reporting the identified set and conditional-prior information alongside Bayesian summaries [5]. We follow that distinction explicitly.</w:t>
      </w:r>
    </w:p>
    <w:p>
      <w:r>
        <w:rPr>
          <w:rFonts w:ascii="Times New Roman" w:hAnsi="Times New Roman"/>
          <w:sz w:val="22"/>
        </w:rPr>
        <w:t>The closest ordinal literature is computational social choice under incomplete preferences. Xia and Conitzer characterize possible and necessary winners under common rules [6]; Betzler and Dorn establish a broad complexity dichotomy for possible winners under scoring rules [7]; Bachrach, Betzler, and Faliszewski study probabilistic possible-winner counting and randomized computation [8]; Dey and Misra sharpen hardness results as missing pairwise information varies [9]; and Lu and Boutilier develop robust winner determination under partial rankings [10]. Their objects complete multiple partial voter orders and ask about winners. Our object is different: the public input is one latent aggregate permutation, expert ranks are observed, and a coarse institutional outcome constrains combined expert-public scores. The present novelty is the inverse-rule formulation and its exact support-endpoint MILP, not the general idea that incomplete rankings induce a completion set.</w:t>
      </w:r>
    </w:p>
    <w:p>
      <w:r>
        <w:rPr>
          <w:rFonts w:ascii="Times New Roman" w:hAnsi="Times New Roman"/>
          <w:sz w:val="22"/>
        </w:rPr>
        <w:t xml:space="preserve">Simulation design follows ADEMP and transparent reporting guidance [11-13]. Fixed seeds and parameter cells were recorded in a hash-locked local design before the reported evaluation. Because no external immutable registration identifier predates result inspection, we use </w:t>
      </w:r>
      <w:r>
        <w:rPr>
          <w:rFonts w:ascii="Times New Roman" w:hAnsi="Times New Roman"/>
          <w:b/>
          <w:sz w:val="22"/>
        </w:rPr>
        <w:t>predeclared</w:t>
      </w:r>
      <w:r>
        <w:rPr>
          <w:rFonts w:ascii="Times New Roman" w:hAnsi="Times New Roman"/>
          <w:sz w:val="22"/>
        </w:rPr>
        <w:t xml:space="preserve"> and </w:t>
      </w:r>
      <w:r>
        <w:rPr>
          <w:rFonts w:ascii="Times New Roman" w:hAnsi="Times New Roman"/>
          <w:b/>
          <w:sz w:val="22"/>
        </w:rPr>
        <w:t>hash-locked</w:t>
      </w:r>
      <w:r>
        <w:rPr>
          <w:rFonts w:ascii="Times New Roman" w:hAnsi="Times New Roman"/>
          <w:sz w:val="22"/>
        </w:rPr>
        <w:t xml:space="preserve">, not </w:t>
      </w:r>
      <w:r>
        <w:rPr>
          <w:rFonts w:ascii="Times New Roman" w:hAnsi="Times New Roman"/>
          <w:b/>
          <w:sz w:val="22"/>
        </w:rPr>
        <w:t>preregistered</w:t>
      </w:r>
      <w:r>
        <w:rPr>
          <w:rFonts w:ascii="Times New Roman" w:hAnsi="Times New Roman"/>
          <w:sz w:val="22"/>
        </w:rPr>
        <w:t>.</w:t>
      </w:r>
    </w:p>
    <w:p>
      <w:pPr>
        <w:pStyle w:val="Heading1"/>
      </w:pPr>
      <w:r>
        <w:t>3. Data, rules, and provenance</w:t>
      </w:r>
    </w:p>
    <w:p>
      <w:r>
        <w:rPr>
          <w:rFonts w:ascii="Times New Roman" w:hAnsi="Times New Roman"/>
          <w:sz w:val="22"/>
        </w:rPr>
        <w:t xml:space="preserve">The empirical testbed is the official COMAP 2026 Problem C data file [14]. The processed panel has 248 percentage-regime weeks, 14 early rank-regime weeks, and 73 weeks encoded under the rank-plus-judge-save interpretation. COMAP documents percentage aggregation for seasons 3-27 and describes a bottom-two judge-save mechanism from season 28, but states that the exact season in which rank aggregation returned is uncertain and treats season 28 as a reasonable assumption. We therefore label seasons 28-34 as the </w:t>
      </w:r>
      <w:r>
        <w:rPr>
          <w:rFonts w:ascii="Times New Roman" w:hAnsi="Times New Roman"/>
          <w:b/>
          <w:sz w:val="22"/>
        </w:rPr>
        <w:t>primary season-28 rank-return assumption</w:t>
      </w:r>
      <w:r>
        <w:rPr>
          <w:rFonts w:ascii="Times New Roman" w:hAnsi="Times New Roman"/>
          <w:sz w:val="22"/>
        </w:rPr>
        <w:t xml:space="preserve"> and separately report results excluding season 28.</w:t>
      </w:r>
    </w:p>
    <w:p>
      <w:r>
        <w:rPr>
          <w:rFonts w:ascii="Times New Roman" w:hAnsi="Times New Roman"/>
          <w:sz w:val="22"/>
        </w:rPr>
        <w:t>One percentage week, season 18 week 2, is skipped. The cause is not a missing public-appeal proxy. The constraint log records an eliminated contestant, Diana Nyad, without an active judge total after the source-status mapping. Because the elimination inequality cannot be constructed from the stated P-regime equation, that week has no identified set. The 11 unavailable typed proxies are downstream consequences of this skipped identification result and are neither inputs to nor causes of P-regime constraint construction. No value is imputed.</w:t>
      </w:r>
    </w:p>
    <w:p>
      <w:r>
        <w:rPr>
          <w:rFonts w:ascii="Times New Roman" w:hAnsi="Times New Roman"/>
          <w:sz w:val="22"/>
        </w:rPr>
        <w:t>Withdrawals are excluded from outcome eligibility but remain in the active public-rank permutation when the source record marks them active for that week. Multiple eliminations use the observed eliminated set. Weekly latent rankings are not constrained to remain constant across rounds; multi-round synthetic case coverage is the conjunction of separately encoded round-level compatibility statements. A model with a stable or dynamically coupled latent ranking would be a different estimand and is not implemented here.</w:t>
      </w:r>
    </w:p>
    <w:p>
      <w:pPr>
        <w:pStyle w:val="Heading1"/>
      </w:pPr>
      <w:r>
        <w:t>4. Cardinal identified polytope and coverage</w:t>
      </w:r>
    </w:p>
    <w:p>
      <w:r>
        <w:rPr>
          <w:rFonts w:ascii="Times New Roman" w:hAnsi="Times New Roman"/>
          <w:sz w:val="22"/>
        </w:rPr>
        <w:t xml:space="preserve">Let </w:t>
      </w:r>
      <m:oMath>
        <m:r>
          <m:rPr>
            <m:sz m:val="22"/>
          </m:rPr>
          <m:t>A</m:t>
        </m:r>
      </m:oMath>
      <w:r>
        <w:rPr>
          <w:rFonts w:ascii="Times New Roman" w:hAnsi="Times New Roman"/>
          <w:sz w:val="22"/>
        </w:rPr>
        <w:t xml:space="preserve"> be the active candidates, </w:t>
      </w:r>
      <m:oMath>
        <m:r>
          <m:rPr>
            <m:sz m:val="22"/>
          </m:rPr>
          <m:t>q_i</m:t>
        </m:r>
      </m:oMath>
      <w:r>
        <w:rPr>
          <w:rFonts w:ascii="Times New Roman" w:hAnsi="Times New Roman"/>
          <w:sz w:val="22"/>
        </w:rPr>
        <w:t xml:space="preserve"> the normalized expert share, and </w:t>
      </w:r>
      <m:oMath>
        <m:r>
          <m:rPr>
            <m:sz m:val="22"/>
          </m:rPr>
          <m:t>p_i</m:t>
        </m:r>
      </m:oMath>
      <w:r>
        <w:rPr>
          <w:rFonts w:ascii="Times New Roman" w:hAnsi="Times New Roman"/>
          <w:sz w:val="22"/>
        </w:rPr>
        <w:t xml:space="preserve"> the latent public share. Under percentage aggregation,</w:t>
      </w:r>
    </w:p>
    <w:p>
      <m:oMath>
        <m:r>
          <m:rPr>
            <m:sz m:val="22"/>
          </m:rPr>
          <m:t>P(O)={p∈ℝ^n: p_i≥0, ∑_i p_i=1, q_e+p_e≤ q_s+p_s for every eliminated e and eligible survivor s}.</m:t>
        </m:r>
      </m:oMath>
    </w:p>
    <w:p>
      <w:r>
        <w:rPr>
          <w:rFonts w:ascii="Times New Roman" w:hAnsi="Times New Roman"/>
          <w:sz w:val="22"/>
        </w:rPr>
        <w:t xml:space="preserve">Coordinate bounds </w:t>
      </w:r>
      <m:oMath>
        <m:r>
          <m:rPr>
            <m:sz m:val="22"/>
          </m:rPr>
          <m:t>l_i=min_p∈ P(O)p_i</m:t>
        </m:r>
      </m:oMath>
      <w:r>
        <w:rPr>
          <w:rFonts w:ascii="Times New Roman" w:hAnsi="Times New Roman"/>
          <w:sz w:val="22"/>
        </w:rPr>
        <w:t xml:space="preserve"> and </w:t>
      </w:r>
      <m:oMath>
        <m:r>
          <m:rPr>
            <m:sz m:val="22"/>
          </m:rPr>
          <m:t>u_i=max_p∈ P(O)p_i</m:t>
        </m:r>
      </m:oMath>
      <w:r>
        <w:rPr>
          <w:rFonts w:ascii="Times New Roman" w:hAnsi="Times New Roman"/>
          <w:sz w:val="22"/>
        </w:rPr>
        <w:t xml:space="preserve"> are sharp marginal projections. Their Cartesian product </w:t>
      </w:r>
      <m:oMath>
        <m:r>
          <m:rPr>
            <m:sz m:val="22"/>
          </m:rPr>
          <m:t>∏_i[l_i,u_i]</m:t>
        </m:r>
      </m:oMath>
      <w:r>
        <w:rPr>
          <w:rFonts w:ascii="Times New Roman" w:hAnsi="Times New Roman"/>
          <w:sz w:val="22"/>
        </w:rPr>
        <w:t xml:space="preserve"> is generally a strict outer approximation to </w:t>
      </w:r>
      <m:oMath>
        <m:r>
          <m:rPr>
            <m:sz m:val="22"/>
          </m:rPr>
          <m:t>P(O)</m:t>
        </m:r>
      </m:oMath>
      <w:r>
        <w:rPr>
          <w:rFonts w:ascii="Times New Roman" w:hAnsi="Times New Roman"/>
          <w:sz w:val="22"/>
        </w:rPr>
        <w:t xml:space="preserve">. We therefore report two distinct diagnostics for a known synthetic truth </w:t>
      </w:r>
      <m:oMath>
        <m:r>
          <m:rPr>
            <m:sz m:val="22"/>
          </m:rPr>
          <m:t>p^★</m:t>
        </m:r>
      </m:oMath>
      <w:r>
        <w:rPr>
          <w:rFonts w:ascii="Times New Roman" w:hAnsi="Times New Roman"/>
          <w:sz w:val="22"/>
        </w:rPr>
        <w:t>:</w:t>
      </w:r>
    </w:p>
    <w:p>
      <m:oMath>
        <m:r>
          <m:rPr>
            <m:sz m:val="22"/>
          </m:rPr>
          <m:t>C_set=1{p^★∈ P(O)},    C_box=1{l_i≤ p_i^★≤ u_i ∀ i}.</m:t>
        </m:r>
      </m:oMath>
    </w:p>
    <w:p>
      <w:r>
        <w:rPr>
          <w:rFonts w:ascii="Times New Roman" w:hAnsi="Times New Roman"/>
          <w:sz w:val="22"/>
        </w:rPr>
        <w:t xml:space="preserve">Only </w:t>
      </w:r>
      <m:oMath>
        <m:r>
          <m:rPr>
            <m:sz m:val="22"/>
          </m:rPr>
          <m:t>C_set</m:t>
        </m:r>
      </m:oMath>
      <w:r>
        <w:rPr>
          <w:rFonts w:ascii="Times New Roman" w:hAnsi="Times New Roman"/>
          <w:sz w:val="22"/>
        </w:rPr>
        <w:t xml:space="preserve"> is called identified-set coverage. </w:t>
      </w:r>
      <m:oMath>
        <m:r>
          <m:rPr>
            <m:sz m:val="22"/>
          </m:rPr>
          <m:t>C_box</m:t>
        </m:r>
      </m:oMath>
      <w:r>
        <w:rPr>
          <w:rFonts w:ascii="Times New Roman" w:hAnsi="Times New Roman"/>
          <w:sz w:val="22"/>
        </w:rPr>
        <w:t xml:space="preserve"> is retained as a legacy projection-envelope diagnostic. In the noisy generator the recorded eliminated candidate is the strictly second-worst combined-score candidate (ties occur with probability zero under the continuous generator), so every realized noise event violates at least one joint elimination inequality even when the truth remains inside all marginal intervals.</w:t>
      </w:r>
    </w:p>
    <w:p>
      <w:pPr>
        <w:pStyle w:val="Heading1"/>
      </w:pPr>
      <w:r>
        <w:t>5. Ordinal feasible sets</w:t>
      </w:r>
    </w:p>
    <w:p>
      <w:r>
        <w:rPr>
          <w:rFonts w:ascii="Times New Roman" w:hAnsi="Times New Roman"/>
          <w:sz w:val="22"/>
        </w:rPr>
        <w:t xml:space="preserve">Let </w:t>
      </w:r>
      <m:oMath>
        <m:r>
          <m:rPr>
            <m:sz m:val="22"/>
          </m:rPr>
          <m:t>r_i^J</m:t>
        </m:r>
      </m:oMath>
      <w:r>
        <w:rPr>
          <w:rFonts w:ascii="Times New Roman" w:hAnsi="Times New Roman"/>
          <w:sz w:val="22"/>
        </w:rPr>
        <w:t xml:space="preserve"> be the observed expert rank and </w:t>
      </w:r>
      <m:oMath>
        <m:r>
          <m:rPr>
            <m:sz m:val="22"/>
          </m:rPr>
          <m:t>r_i^F</m:t>
        </m:r>
      </m:oMath>
      <w:r>
        <w:rPr>
          <w:rFonts w:ascii="Times New Roman" w:hAnsi="Times New Roman"/>
          <w:sz w:val="22"/>
        </w:rPr>
        <w:t xml:space="preserve"> a latent strict public rank, a permutation of </w:t>
      </w:r>
      <m:oMath>
        <m:r>
          <m:rPr>
            <m:sz m:val="22"/>
          </m:rPr>
          <m:t>1,…,n</m:t>
        </m:r>
      </m:oMath>
      <w:r>
        <w:rPr>
          <w:rFonts w:ascii="Times New Roman" w:hAnsi="Times New Roman"/>
          <w:sz w:val="22"/>
        </w:rPr>
        <w:t xml:space="preserve">. Define combined rank score </w:t>
      </w:r>
      <m:oMath>
        <m:r>
          <m:rPr>
            <m:sz m:val="22"/>
          </m:rPr>
          <m:t>c_i=r_i^J+r_i^F</m:t>
        </m:r>
      </m:oMath>
      <w:r>
        <w:rPr>
          <w:rFonts w:ascii="Times New Roman" w:hAnsi="Times New Roman"/>
          <w:sz w:val="22"/>
        </w:rPr>
        <w:t xml:space="preserve">, where a larger score is worse. For eligible set </w:t>
      </w:r>
      <m:oMath>
        <m:r>
          <m:rPr>
            <m:sz m:val="22"/>
          </m:rPr>
          <m:t>G</m:t>
        </m:r>
      </m:oMath>
      <w:r>
        <w:rPr>
          <w:rFonts w:ascii="Times New Roman" w:hAnsi="Times New Roman"/>
          <w:sz w:val="22"/>
        </w:rPr>
        <w:t xml:space="preserve"> and </w:t>
      </w:r>
      <m:oMath>
        <m:r>
          <m:rPr>
            <m:sz m:val="22"/>
          </m:rPr>
          <m:t>1≤ k≤|G|</m:t>
        </m:r>
      </m:oMath>
      <w:r>
        <w:rPr>
          <w:rFonts w:ascii="Times New Roman" w:hAnsi="Times New Roman"/>
          <w:sz w:val="22"/>
        </w:rPr>
        <w:t xml:space="preserve">, let </w:t>
      </w:r>
      <m:oMath>
        <m:r>
          <m:rPr>
            <m:sz m:val="22"/>
          </m:rPr>
          <m:t>θ_k(c;G)</m:t>
        </m:r>
      </m:oMath>
      <w:r>
        <w:rPr>
          <w:rFonts w:ascii="Times New Roman" w:hAnsi="Times New Roman"/>
          <w:sz w:val="22"/>
        </w:rPr>
        <w:t xml:space="preserve"> be the </w:t>
      </w:r>
      <m:oMath>
        <m:r>
          <m:rPr>
            <m:sz m:val="22"/>
          </m:rPr>
          <m:t>k</m:t>
        </m:r>
      </m:oMath>
      <w:r>
        <w:rPr>
          <w:rFonts w:ascii="Times New Roman" w:hAnsi="Times New Roman"/>
          <w:sz w:val="22"/>
        </w:rPr>
        <w:t xml:space="preserve">th largest value in </w:t>
      </w:r>
      <m:oMath>
        <m:r>
          <m:rPr>
            <m:sz m:val="22"/>
          </m:rPr>
          <m:t>{c_i:i∈ G}</m:t>
        </m:r>
      </m:oMath>
      <w:r>
        <w:rPr>
          <w:rFonts w:ascii="Times New Roman" w:hAnsi="Times New Roman"/>
          <w:sz w:val="22"/>
        </w:rPr>
        <w:t xml:space="preserve"> and define the tie-inclusive bottom set</w:t>
      </w:r>
    </w:p>
    <w:p>
      <m:oMath>
        <m:r>
          <m:rPr>
            <m:sz m:val="22"/>
          </m:rPr>
          <m:t>B_k(c;G)={i∈ G:c_i≥θ_k(c;G)}.</m:t>
        </m:r>
      </m:oMath>
    </w:p>
    <w:p>
      <w:r>
        <w:rPr>
          <w:rFonts w:ascii="Times New Roman" w:hAnsi="Times New Roman"/>
          <w:sz w:val="22"/>
        </w:rPr>
        <w:t xml:space="preserve">This definition permits </w:t>
      </w:r>
      <m:oMath>
        <m:r>
          <m:rPr>
            <m:sz m:val="22"/>
          </m:rPr>
          <m:t>|B_k|&gt;k</m:t>
        </m:r>
      </m:oMath>
      <w:r>
        <w:rPr>
          <w:rFonts w:ascii="Times New Roman" w:hAnsi="Times New Roman"/>
          <w:sz w:val="22"/>
        </w:rPr>
        <w:t xml:space="preserve"> under ties. It also gives </w:t>
      </w:r>
      <m:oMath>
        <m:r>
          <m:rPr>
            <m:sz m:val="22"/>
          </m:rPr>
          <m:t>B_k(c;G)⊆ B_k+1(c;G)</m:t>
        </m:r>
      </m:oMath>
      <w:r>
        <w:rPr>
          <w:rFonts w:ascii="Times New Roman" w:hAnsi="Times New Roman"/>
          <w:sz w:val="22"/>
        </w:rPr>
        <w:t xml:space="preserve"> directly because </w:t>
      </w:r>
      <m:oMath>
        <m:r>
          <m:rPr>
            <m:sz m:val="22"/>
          </m:rPr>
          <m:t>θ_k+1≤θ_k</m:t>
        </m:r>
      </m:oMath>
      <w:r>
        <w:rPr>
          <w:rFonts w:ascii="Times New Roman" w:hAnsi="Times New Roman"/>
          <w:sz w:val="22"/>
        </w:rPr>
        <w:t xml:space="preserve">. For </w:t>
      </w:r>
      <m:oMath>
        <m:r>
          <m:rPr>
            <m:sz m:val="22"/>
          </m:rPr>
          <m:t>k</m:t>
        </m:r>
      </m:oMath>
      <w:r>
        <w:rPr>
          <w:rFonts w:ascii="Times New Roman" w:hAnsi="Times New Roman"/>
          <w:sz w:val="22"/>
        </w:rPr>
        <w:t xml:space="preserve"> observed eliminations, the direct rule requires </w:t>
      </w:r>
      <m:oMath>
        <m:r>
          <m:rPr>
            <m:sz m:val="22"/>
          </m:rPr>
          <m:t>E⊆ B_k</m:t>
        </m:r>
      </m:oMath>
      <w:r>
        <w:rPr>
          <w:rFonts w:ascii="Times New Roman" w:hAnsi="Times New Roman"/>
          <w:sz w:val="22"/>
        </w:rPr>
        <w:t xml:space="preserve">; the weak judge-save interpretation requires </w:t>
      </w:r>
      <m:oMath>
        <m:r>
          <m:rPr>
            <m:sz m:val="22"/>
          </m:rPr>
          <m:t>E⊆ B_min(k+1,|G|)</m:t>
        </m:r>
      </m:oMath>
      <w:r>
        <w:rPr>
          <w:rFonts w:ascii="Times New Roman" w:hAnsi="Times New Roman"/>
          <w:sz w:val="22"/>
        </w:rPr>
        <w:t>. Expert ties are converted to ranks under the named policy (average, minimum/competition, or dense), and every sensitivity row preserves that policy label.</w:t>
      </w:r>
    </w:p>
    <w:p>
      <w:pPr>
        <w:pStyle w:val="Heading2"/>
      </w:pPr>
      <w:r>
        <w:t>5.1 Exact support-endpoint MILP</w:t>
      </w:r>
    </w:p>
    <w:p>
      <w:r>
        <w:rPr>
          <w:rFonts w:ascii="Times New Roman" w:hAnsi="Times New Roman"/>
          <w:sz w:val="22"/>
        </w:rPr>
        <w:t xml:space="preserve">Introduce binary assignment variables </w:t>
      </w:r>
      <m:oMath>
        <m:r>
          <m:rPr>
            <m:sz m:val="22"/>
          </m:rPr>
          <m:t>x_ir</m:t>
        </m:r>
      </m:oMath>
      <w:r>
        <w:rPr>
          <w:rFonts w:ascii="Times New Roman" w:hAnsi="Times New Roman"/>
          <w:sz w:val="22"/>
        </w:rPr>
        <w:t xml:space="preserve">, equal to one when candidate </w:t>
      </w:r>
      <m:oMath>
        <m:r>
          <m:rPr>
            <m:sz m:val="22"/>
          </m:rPr>
          <m:t>i</m:t>
        </m:r>
      </m:oMath>
      <w:r>
        <w:rPr>
          <w:rFonts w:ascii="Times New Roman" w:hAnsi="Times New Roman"/>
          <w:sz w:val="22"/>
        </w:rPr>
        <w:t xml:space="preserve"> receives public rank </w:t>
      </w:r>
      <m:oMath>
        <m:r>
          <m:rPr>
            <m:sz m:val="22"/>
          </m:rPr>
          <m:t>r</m:t>
        </m:r>
      </m:oMath>
      <w:r>
        <w:rPr>
          <w:rFonts w:ascii="Times New Roman" w:hAnsi="Times New Roman"/>
          <w:sz w:val="22"/>
        </w:rPr>
        <w:t>. The permutation constraints are</w:t>
      </w:r>
    </w:p>
    <w:p>
      <m:oMath>
        <m:r>
          <m:rPr>
            <m:sz m:val="22"/>
          </m:rPr>
          <m:t>∑_r x_ir=1 ∀ i,    ∑_i x_ir=1 ∀ r.</m:t>
        </m:r>
      </m:oMath>
    </w:p>
    <w:p>
      <w:r>
        <w:rPr>
          <w:rFonts w:ascii="Times New Roman" w:hAnsi="Times New Roman"/>
          <w:sz w:val="22"/>
        </w:rPr>
        <w:t xml:space="preserve">Then </w:t>
      </w:r>
      <m:oMath>
        <m:r>
          <m:rPr>
            <m:sz m:val="22"/>
          </m:rPr>
          <m:t>s_i=r_i^J+∑_r r x_ir</m:t>
        </m:r>
      </m:oMath>
      <w:r>
        <w:rPr>
          <w:rFonts w:ascii="Times New Roman" w:hAnsi="Times New Roman"/>
          <w:sz w:val="22"/>
        </w:rPr>
        <w:t xml:space="preserve">. For each eliminated </w:t>
      </w:r>
      <m:oMath>
        <m:r>
          <m:rPr>
            <m:sz m:val="22"/>
          </m:rPr>
          <m:t>e</m:t>
        </m:r>
      </m:oMath>
      <w:r>
        <w:rPr>
          <w:rFonts w:ascii="Times New Roman" w:hAnsi="Times New Roman"/>
          <w:sz w:val="22"/>
        </w:rPr>
        <w:t xml:space="preserve"> and eligible </w:t>
      </w:r>
      <m:oMath>
        <m:r>
          <m:rPr>
            <m:sz m:val="22"/>
          </m:rPr>
          <m:t>ine e</m:t>
        </m:r>
      </m:oMath>
      <w:r>
        <w:rPr>
          <w:rFonts w:ascii="Times New Roman" w:hAnsi="Times New Roman"/>
          <w:sz w:val="22"/>
        </w:rPr>
        <w:t xml:space="preserve">, introduce binary </w:t>
      </w:r>
      <m:oMath>
        <m:r>
          <m:rPr>
            <m:sz m:val="22"/>
          </m:rPr>
          <m:t>y_ie</m:t>
        </m:r>
      </m:oMath>
      <w:r>
        <w:rPr>
          <w:rFonts w:ascii="Times New Roman" w:hAnsi="Times New Roman"/>
          <w:sz w:val="22"/>
        </w:rPr>
        <w:t xml:space="preserve"> and a valid upper bound </w:t>
      </w:r>
      <m:oMath>
        <m:r>
          <m:rPr>
            <m:sz m:val="22"/>
          </m:rPr>
          <m:t>M</m:t>
        </m:r>
      </m:oMath>
      <w:r>
        <w:rPr>
          <w:rFonts w:ascii="Times New Roman" w:hAnsi="Times New Roman"/>
          <w:sz w:val="22"/>
        </w:rPr>
        <w:t xml:space="preserve"> on score differences:</w:t>
      </w:r>
    </w:p>
    <w:p>
      <m:oMath>
        <m:r>
          <m:rPr>
            <m:sz m:val="22"/>
          </m:rPr>
          <m:t>s_i-s_e≤ M y_ie,    ∑_i∈ Gsetminus{e}y_ie≤ m-1,</m:t>
        </m:r>
      </m:oMath>
    </w:p>
    <w:p>
      <w:r>
        <w:rPr>
          <w:rFonts w:ascii="Times New Roman" w:hAnsi="Times New Roman"/>
          <w:sz w:val="22"/>
        </w:rPr>
        <w:t xml:space="preserve">where </w:t>
      </w:r>
      <m:oMath>
        <m:r>
          <m:rPr>
            <m:sz m:val="22"/>
          </m:rPr>
          <m:t>m=k</m:t>
        </m:r>
      </m:oMath>
      <w:r>
        <w:rPr>
          <w:rFonts w:ascii="Times New Roman" w:hAnsi="Times New Roman"/>
          <w:sz w:val="22"/>
        </w:rPr>
        <w:t xml:space="preserve"> for direct elimination and </w:t>
      </w:r>
      <m:oMath>
        <m:r>
          <m:rPr>
            <m:sz m:val="22"/>
          </m:rPr>
          <m:t>m=min(k+1,|G|)</m:t>
        </m:r>
      </m:oMath>
      <w:r>
        <w:rPr>
          <w:rFonts w:ascii="Times New Roman" w:hAnsi="Times New Roman"/>
          <w:sz w:val="22"/>
        </w:rPr>
        <w:t xml:space="preserve"> for the weak save rule. If </w:t>
      </w:r>
      <m:oMath>
        <m:r>
          <m:rPr>
            <m:sz m:val="22"/>
          </m:rPr>
          <m:t>s_i&gt;s_e</m:t>
        </m:r>
      </m:oMath>
      <w:r>
        <w:rPr>
          <w:rFonts w:ascii="Times New Roman" w:hAnsi="Times New Roman"/>
          <w:sz w:val="22"/>
        </w:rPr>
        <w:t xml:space="preserve">, integrality forces </w:t>
      </w:r>
      <m:oMath>
        <m:r>
          <m:rPr>
            <m:sz m:val="22"/>
          </m:rPr>
          <m:t>y_ie=1</m:t>
        </m:r>
      </m:oMath>
      <w:r>
        <w:rPr>
          <w:rFonts w:ascii="Times New Roman" w:hAnsi="Times New Roman"/>
          <w:sz w:val="22"/>
        </w:rPr>
        <w:t xml:space="preserve">; when </w:t>
      </w:r>
      <m:oMath>
        <m:r>
          <m:rPr>
            <m:sz m:val="22"/>
          </m:rPr>
          <m:t>s_i≤ s_e</m:t>
        </m:r>
      </m:oMath>
      <w:r>
        <w:rPr>
          <w:rFonts w:ascii="Times New Roman" w:hAnsi="Times New Roman"/>
          <w:sz w:val="22"/>
        </w:rPr>
        <w:t xml:space="preserve">, a feasible solution can take </w:t>
      </w:r>
      <m:oMath>
        <m:r>
          <m:rPr>
            <m:sz m:val="22"/>
          </m:rPr>
          <m:t>y_ie=0</m:t>
        </m:r>
      </m:oMath>
      <w:r>
        <w:rPr>
          <w:rFonts w:ascii="Times New Roman" w:hAnsi="Times New Roman"/>
          <w:sz w:val="22"/>
        </w:rPr>
        <w:t xml:space="preserve">. Thus the second inequality is equivalent to </w:t>
      </w:r>
      <m:oMath>
        <m:r>
          <m:rPr>
            <m:sz m:val="22"/>
          </m:rPr>
          <m:t>e∈ B_m</m:t>
        </m:r>
      </m:oMath>
      <w:r>
        <w:rPr>
          <w:rFonts w:ascii="Times New Roman" w:hAnsi="Times New Roman"/>
          <w:sz w:val="22"/>
        </w:rPr>
        <w:t>. Finale order constraints are linear inequalities between adjacent combined scores in the observed placement order.</w:t>
      </w:r>
    </w:p>
    <w:p>
      <w:r>
        <w:rPr>
          <w:rFonts w:ascii="Times New Roman" w:hAnsi="Times New Roman"/>
          <w:b/>
          <w:sz w:val="22"/>
        </w:rPr>
        <w:t>Theorem 1 (sharp endpoint correctness).</w:t>
      </w:r>
      <w:r>
        <w:rPr>
          <w:rFonts w:ascii="Times New Roman" w:hAnsi="Times New Roman"/>
          <w:sz w:val="22"/>
        </w:rPr>
        <w:t xml:space="preserve"> For every encoded week, tie policy, mechanism, candidate </w:t>
      </w:r>
      <m:oMath>
        <m:r>
          <m:rPr>
            <m:sz m:val="22"/>
          </m:rPr>
          <m:t>a</m:t>
        </m:r>
      </m:oMath>
      <w:r>
        <w:rPr>
          <w:rFonts w:ascii="Times New Roman" w:hAnsi="Times New Roman"/>
          <w:sz w:val="22"/>
        </w:rPr>
        <w:t xml:space="preserve">, and public rank </w:t>
      </w:r>
      <m:oMath>
        <m:r>
          <m:rPr>
            <m:sz m:val="22"/>
          </m:rPr>
          <m:t>r</m:t>
        </m:r>
      </m:oMath>
      <w:r>
        <w:rPr>
          <w:rFonts w:ascii="Times New Roman" w:hAnsi="Times New Roman"/>
          <w:sz w:val="22"/>
        </w:rPr>
        <w:t xml:space="preserve">, the assignment MILP has a feasible integer solution with </w:t>
      </w:r>
      <m:oMath>
        <m:r>
          <m:rPr>
            <m:sz m:val="22"/>
          </m:rPr>
          <m:t>x_ar=1</m:t>
        </m:r>
      </m:oMath>
      <w:r>
        <w:rPr>
          <w:rFonts w:ascii="Times New Roman" w:hAnsi="Times New Roman"/>
          <w:sz w:val="22"/>
        </w:rPr>
        <w:t xml:space="preserve"> if and only if there exists a strict public permutation satisfying the same finale or tie-inclusive bottom-set predicate used by the enumerative rule checker. Consequently, minimizing and maximizing </w:t>
      </w:r>
      <m:oMath>
        <m:r>
          <m:rPr>
            <m:sz m:val="22"/>
          </m:rPr>
          <m:t>∑_r r x_ar</m:t>
        </m:r>
      </m:oMath>
      <w:r>
        <w:rPr>
          <w:rFonts w:ascii="Times New Roman" w:hAnsi="Times New Roman"/>
          <w:sz w:val="22"/>
        </w:rPr>
        <w:t xml:space="preserve"> give the sharp attainable endpoints for candidate </w:t>
      </w:r>
      <m:oMath>
        <m:r>
          <m:rPr>
            <m:sz m:val="22"/>
          </m:rPr>
          <m:t>a</m:t>
        </m:r>
      </m:oMath>
      <w:r>
        <w:rPr>
          <w:rFonts w:ascii="Times New Roman" w:hAnsi="Times New Roman"/>
          <w:sz w:val="22"/>
        </w:rPr>
        <w:t>.</w:t>
      </w:r>
    </w:p>
    <w:p>
      <w:r>
        <w:rPr>
          <w:rFonts w:ascii="Times New Roman" w:hAnsi="Times New Roman"/>
          <w:b/>
          <w:sz w:val="22"/>
        </w:rPr>
        <w:t>Proof.</w:t>
      </w:r>
      <w:r>
        <w:rPr>
          <w:rFonts w:ascii="Times New Roman" w:hAnsi="Times New Roman"/>
          <w:sz w:val="22"/>
        </w:rPr>
        <w:t xml:space="preserve"> A feasible integer assignment matrix has exactly one one in each row and column, hence represents one strict permutation; conversely every strict permutation defines such a matrix. For an elimination constraint, </w:t>
      </w:r>
      <m:oMath>
        <m:r>
          <m:rPr>
            <m:sz m:val="22"/>
          </m:rPr>
          <m:t>s_i&gt;s_e</m:t>
        </m:r>
      </m:oMath>
      <w:r>
        <w:rPr>
          <w:rFonts w:ascii="Times New Roman" w:hAnsi="Times New Roman"/>
          <w:sz w:val="22"/>
        </w:rPr>
        <w:t xml:space="preserve"> forces </w:t>
      </w:r>
      <m:oMath>
        <m:r>
          <m:rPr>
            <m:sz m:val="22"/>
          </m:rPr>
          <m:t>y_ie=1</m:t>
        </m:r>
      </m:oMath>
      <w:r>
        <w:rPr>
          <w:rFonts w:ascii="Times New Roman" w:hAnsi="Times New Roman"/>
          <w:sz w:val="22"/>
        </w:rPr>
        <w:t xml:space="preserve">. If at most </w:t>
      </w:r>
      <m:oMath>
        <m:r>
          <m:rPr>
            <m:sz m:val="22"/>
          </m:rPr>
          <m:t>m-1</m:t>
        </m:r>
      </m:oMath>
      <w:r>
        <w:rPr>
          <w:rFonts w:ascii="Times New Roman" w:hAnsi="Times New Roman"/>
          <w:sz w:val="22"/>
        </w:rPr>
        <w:t xml:space="preserve"> eligible scores are strictly greater than </w:t>
      </w:r>
      <m:oMath>
        <m:r>
          <m:rPr>
            <m:sz m:val="22"/>
          </m:rPr>
          <m:t>s_e</m:t>
        </m:r>
      </m:oMath>
      <w:r>
        <w:rPr>
          <w:rFonts w:ascii="Times New Roman" w:hAnsi="Times New Roman"/>
          <w:sz w:val="22"/>
        </w:rPr>
        <w:t xml:space="preserve">, choose </w:t>
      </w:r>
      <m:oMath>
        <m:r>
          <m:rPr>
            <m:sz m:val="22"/>
          </m:rPr>
          <m:t>y_ie=1</m:t>
        </m:r>
      </m:oMath>
      <w:r>
        <w:rPr>
          <w:rFonts w:ascii="Times New Roman" w:hAnsi="Times New Roman"/>
          <w:sz w:val="22"/>
        </w:rPr>
        <w:t xml:space="preserve"> exactly for those scores and zero otherwise, satisfying both inequalities. Therefore the auxiliary constraints hold exactly when </w:t>
      </w:r>
      <m:oMath>
        <m:r>
          <m:rPr>
            <m:sz m:val="22"/>
          </m:rPr>
          <m:t>e</m:t>
        </m:r>
      </m:oMath>
      <w:r>
        <w:rPr>
          <w:rFonts w:ascii="Times New Roman" w:hAnsi="Times New Roman"/>
          <w:sz w:val="22"/>
        </w:rPr>
        <w:t xml:space="preserve"> is in the tie-inclusive bottom-</w:t>
      </w:r>
      <m:oMath>
        <m:r>
          <m:rPr>
            <m:sz m:val="22"/>
          </m:rPr>
          <m:t>m</m:t>
        </m:r>
      </m:oMath>
      <w:r>
        <w:rPr>
          <w:rFonts w:ascii="Times New Roman" w:hAnsi="Times New Roman"/>
          <w:sz w:val="22"/>
        </w:rPr>
        <w:t xml:space="preserve"> set. Applying this to every eliminated candidate, or applying the adjacent finale inequalities, proves equivalence. Linear optimization over the equivalent feasible integer assignments attains the sharp minimum and maximum. </w:t>
      </w:r>
      <m:oMath>
        <m:r>
          <m:rPr>
            <m:sz m:val="22"/>
          </m:rPr>
          <m:t>square</m:t>
        </m:r>
      </m:oMath>
    </w:p>
    <w:p>
      <w:r>
        <w:rPr>
          <w:rFonts w:ascii="Times New Roman" w:hAnsi="Times New Roman"/>
          <w:sz w:val="22"/>
        </w:rPr>
        <w:t xml:space="preserve">The algorithm solves two MILPs per candidate. A non-finale week has </w:t>
      </w:r>
      <m:oMath>
        <m:r>
          <m:rPr>
            <m:sz m:val="22"/>
          </m:rPr>
          <m:t>n²+|E|(|G|-1)</m:t>
        </m:r>
      </m:oMath>
      <w:r>
        <w:rPr>
          <w:rFonts w:ascii="Times New Roman" w:hAnsi="Times New Roman"/>
          <w:sz w:val="22"/>
        </w:rPr>
        <w:t xml:space="preserve"> binary variables, </w:t>
      </w:r>
      <m:oMath>
        <m:r>
          <m:rPr>
            <m:sz m:val="22"/>
          </m:rPr>
          <m:t>2n+|E|(|G|-1)+|E|</m:t>
        </m:r>
      </m:oMath>
      <w:r>
        <w:rPr>
          <w:rFonts w:ascii="Times New Roman" w:hAnsi="Times New Roman"/>
          <w:sz w:val="22"/>
        </w:rPr>
        <w:t xml:space="preserve"> principal constraints, and </w:t>
      </w:r>
      <m:oMath>
        <m:r>
          <m:rPr>
            <m:sz m:val="22"/>
          </m:rPr>
          <m:t>2n</m:t>
        </m:r>
      </m:oMath>
      <w:r>
        <w:rPr>
          <w:rFonts w:ascii="Times New Roman" w:hAnsi="Times New Roman"/>
          <w:sz w:val="22"/>
        </w:rPr>
        <w:t xml:space="preserve"> optimization calls. This is a workload bound, not a polynomial-time claim: general binary linear optimization is NP-hard, and exact compatible-permutation counting is not supplied by endpoint optimization. In this data, the primary tie-policy analysis required 2,964 solver calls; all four tie policies plus the direct counterfactual used 7,644 calls in 45.03 seconds on the recorded environment.</w:t>
      </w:r>
    </w:p>
    <w:p>
      <w:pPr>
        <w:pStyle w:val="Heading2"/>
      </w:pPr>
      <w:r>
        <w:t>5.2 Set nesting and interpretation</w:t>
      </w:r>
    </w:p>
    <w:p>
      <w:r>
        <w:rPr>
          <w:rFonts w:ascii="Times New Roman" w:hAnsi="Times New Roman"/>
          <w:sz w:val="22"/>
        </w:rPr>
        <w:t xml:space="preserve">Adding valid constraints intersects a feasible set and cannot enlarge it. Likewise, the direct ordinal set is contained in the weak save set because </w:t>
      </w:r>
      <m:oMath>
        <m:r>
          <m:rPr>
            <m:sz m:val="22"/>
          </m:rPr>
          <m:t>B_k⊆ B_k+1</m:t>
        </m:r>
      </m:oMath>
      <w:r>
        <w:rPr>
          <w:rFonts w:ascii="Times New Roman" w:hAnsi="Times New Roman"/>
          <w:sz w:val="22"/>
        </w:rPr>
        <w:t>. These are reported as lemmas and implementation invariants, not empirical wins. Cardinal share widths and normalized ordinal rank-support widths have no canonical common uncertainty scale; numerical cross-regime comparisons are descriptive unless a substantive common loss functional is supplied.</w:t>
      </w:r>
    </w:p>
    <w:p>
      <w:pPr>
        <w:pStyle w:val="Heading1"/>
      </w:pPr>
      <w:r>
        <w:t>6. Bayesian comparator and simulation uncertainty</w:t>
      </w:r>
    </w:p>
    <w:p>
      <w:r>
        <w:rPr>
          <w:rFonts w:ascii="Times New Roman" w:hAnsi="Times New Roman"/>
          <w:sz w:val="22"/>
        </w:rPr>
        <w:t xml:space="preserve">The internal Bayesian comparator draws from a symmetric </w:t>
      </w:r>
      <m:oMath>
        <m:r>
          <m:rPr>
            <m:sz m:val="22"/>
          </m:rPr>
          <m:t>Dirichlet(1)</m:t>
        </m:r>
      </m:oMath>
      <w:r>
        <w:rPr>
          <w:rFonts w:ascii="Times New Roman" w:hAnsi="Times New Roman"/>
          <w:sz w:val="22"/>
        </w:rPr>
        <w:t xml:space="preserve"> prior and applies a zero-one likelihood for the observed linear constraints. With fixed </w:t>
      </w:r>
      <m:oMath>
        <m:r>
          <m:rPr>
            <m:sz m:val="22"/>
          </m:rPr>
          <m:t>N=8192</m:t>
        </m:r>
      </m:oMath>
      <w:r>
        <w:rPr>
          <w:rFonts w:ascii="Times New Roman" w:hAnsi="Times New Roman"/>
          <w:sz w:val="22"/>
        </w:rPr>
        <w:t xml:space="preserve"> prior draws and at least 100 accepted states, the reported coordinate interval is the 95% equal-tail rectangle</w:t>
      </w:r>
    </w:p>
    <w:p>
      <m:oMath>
        <m:r>
          <m:rPr>
            <m:sz m:val="22"/>
          </m:rPr>
          <m:t>I_i^B=[Q₀.025(p_imid O),Q₀.975(p_imid O)].</m:t>
        </m:r>
      </m:oMath>
    </w:p>
    <w:p>
      <w:r>
        <w:rPr>
          <w:rFonts w:ascii="Times New Roman" w:hAnsi="Times New Roman"/>
          <w:sz w:val="22"/>
        </w:rPr>
        <w:t>The external comparator is exact under a uniform distribution over compatible strict rankings and uses the analogous 0.025 and 0.975 marginal rank quantiles. These are marginal posterior credible rectangles, not identified sets and not frequentist confidence sets. “Same information” means the methods receive the same observed record; it does not make their inferential semantics identical. The fixed rejection bank is retained as a transparent baseline, not recommended as an efficient polytope sampler. Hit-and-run or sequential Monte Carlo is future work; no unrun sensitivity result is claimed.</w:t>
      </w:r>
    </w:p>
    <w:p>
      <w:r>
        <w:rPr>
          <w:rFonts w:ascii="Times New Roman" w:hAnsi="Times New Roman"/>
          <w:sz w:val="22"/>
        </w:rPr>
        <w:t xml:space="preserve">For each performance estimator we report a Monte Carlo standard error over independent simulated replications: </w:t>
      </w:r>
      <m:oMath>
        <m:r>
          <m:rPr>
            <m:sz m:val="22"/>
          </m:rPr>
          <m:t>s/sqrtN</m:t>
        </m:r>
      </m:oMath>
      <w:r>
        <w:rPr>
          <w:rFonts w:ascii="Times New Roman" w:hAnsi="Times New Roman"/>
          <w:sz w:val="22"/>
        </w:rPr>
        <w:t xml:space="preserve"> for a mean and the equivalent Bernoulli standard error for binary coverage. Paired removal effects are computed replication by replication before their SE is calculated. The 20-seed standard deviation remains a random-stream stability diagnostic; empirical 2.5%-97.5% seed quantiles are not labeled confidence intervals.</w:t>
      </w:r>
    </w:p>
    <w:p>
      <w:pPr>
        <w:pStyle w:val="Heading1"/>
      </w:pPr>
      <w:r>
        <w:t>7. Evaluation design</w:t>
      </w:r>
    </w:p>
    <w:p>
      <w:r>
        <w:rPr>
          <w:rFonts w:ascii="Times New Roman" w:hAnsi="Times New Roman"/>
          <w:sz w:val="22"/>
        </w:rPr>
        <w:t>Twenty fixed seeds in the hash-locked evaluation configuration cover 12 internal regions (three active-set sizes by four outcome-noise levels) with 250 replications per seed-region and three external ordinal structures with 120 replications per seed-region. This gives 60,000 internal and 7,200 external known-truth cases. Clean simulations are implementation checks under correct specification. Positive outcome noise is a deliberately specified misspecification stress test, not an empirical institutional error rate.</w:t>
      </w:r>
    </w:p>
    <w:p>
      <w:r>
        <w:rPr>
          <w:rFonts w:ascii="Times New Roman" w:hAnsi="Times New Roman"/>
          <w:sz w:val="22"/>
        </w:rPr>
        <w:t>Rule-aware and simplex-only identified sets are evaluated by joint truth membership. The legacy marginal-box diagnostic is shown only to document the metric correction. Bayesian rectangles use their explicitly defined credible-interval coverage. Maximum-entropy points are evaluated by point error and are excluded from coverage-width Pareto tests. The Pareto screen is an operational partial order—coverage no lower, width no higher, at least one strict—not an optimality theorem under an elicited loss function.</w:t>
      </w:r>
    </w:p>
    <w:p>
      <w:pPr>
        <w:pStyle w:val="Heading1"/>
      </w:pPr>
      <w:r>
        <w:t>8. Results</w:t>
      </w:r>
    </w:p>
    <w:p>
      <w:pPr>
        <w:pStyle w:val="Heading2"/>
      </w:pPr>
      <w:r>
        <w:t>8.1 Corrected internal coverage and MCSE</w:t>
      </w:r>
    </w:p>
    <w:p>
      <w:r>
        <w:rPr>
          <w:rFonts w:ascii="Times New Roman" w:hAnsi="Times New Roman"/>
          <w:b/>
          <w:sz w:val="22"/>
        </w:rPr>
        <w:t>Table 1. Joint-set coverage, legacy projection-envelope coverage, and width.</w:t>
      </w:r>
      <w:r>
        <w:rPr>
          <w:rFonts w:ascii="Times New Roman" w:hAnsi="Times New Roman"/>
          <w:sz w:val="22"/>
        </w:rPr>
        <w:t xml:space="preserve"> Each row pools the three active-set sizes and 20 fixed seeds at the stated noise level. MCSEs use all simulated replications in the row.</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outcome noise probability</w:t>
            </w:r>
          </w:p>
        </w:tc>
        <w:tc>
          <w:tcPr>
            <w:tcW w:type="dxa" w:w="1337"/>
          </w:tcPr>
          <w:p>
            <w:r>
              <w:rPr>
                <w:b/>
                <w:sz w:val="16"/>
              </w:rPr>
              <w:t>method</w:t>
            </w:r>
          </w:p>
        </w:tc>
        <w:tc>
          <w:tcPr>
            <w:tcW w:type="dxa" w:w="1337"/>
          </w:tcPr>
          <w:p>
            <w:r>
              <w:rPr>
                <w:b/>
                <w:sz w:val="16"/>
              </w:rPr>
              <w:t>joint set coverage</w:t>
            </w:r>
          </w:p>
        </w:tc>
        <w:tc>
          <w:tcPr>
            <w:tcW w:type="dxa" w:w="1337"/>
          </w:tcPr>
          <w:p>
            <w:r>
              <w:rPr>
                <w:b/>
                <w:sz w:val="16"/>
              </w:rPr>
              <w:t>joint coverage mcse</w:t>
            </w:r>
          </w:p>
        </w:tc>
        <w:tc>
          <w:tcPr>
            <w:tcW w:type="dxa" w:w="1337"/>
          </w:tcPr>
          <w:p>
            <w:r>
              <w:rPr>
                <w:b/>
                <w:sz w:val="16"/>
              </w:rPr>
              <w:t>projection box coverage</w:t>
            </w:r>
          </w:p>
        </w:tc>
        <w:tc>
          <w:tcPr>
            <w:tcW w:type="dxa" w:w="1337"/>
          </w:tcPr>
          <w:p>
            <w:r>
              <w:rPr>
                <w:b/>
                <w:sz w:val="16"/>
              </w:rPr>
              <w:t>mean width</w:t>
            </w:r>
          </w:p>
        </w:tc>
        <w:tc>
          <w:tcPr>
            <w:tcW w:type="dxa" w:w="1337"/>
          </w:tcPr>
          <w:p>
            <w:r>
              <w:rPr>
                <w:b/>
                <w:sz w:val="16"/>
              </w:rPr>
              <w:t>width mcse</w:t>
            </w:r>
          </w:p>
        </w:tc>
      </w:tr>
      <w:tr>
        <w:tc>
          <w:tcPr>
            <w:tcW w:type="dxa" w:w="1337"/>
          </w:tcPr>
          <w:p>
            <w:r>
              <w:rPr>
                <w:sz w:val="16"/>
              </w:rPr>
              <w:t>0.00</w:t>
            </w:r>
          </w:p>
        </w:tc>
        <w:tc>
          <w:tcPr>
            <w:tcW w:type="dxa" w:w="1337"/>
          </w:tcPr>
          <w:p>
            <w:r>
              <w:rPr>
                <w:sz w:val="16"/>
              </w:rPr>
              <w:t>simplex-only</w:t>
            </w:r>
          </w:p>
        </w:tc>
        <w:tc>
          <w:tcPr>
            <w:tcW w:type="dxa" w:w="1337"/>
          </w:tcPr>
          <w:p>
            <w:r>
              <w:rPr>
                <w:sz w:val="16"/>
              </w:rPr>
              <w:t>1.000000</w:t>
            </w:r>
          </w:p>
        </w:tc>
        <w:tc>
          <w:tcPr>
            <w:tcW w:type="dxa" w:w="1337"/>
          </w:tcPr>
          <w:p>
            <w:r>
              <w:rPr>
                <w:sz w:val="16"/>
              </w:rPr>
              <w:t>0.000000</w:t>
            </w:r>
          </w:p>
        </w:tc>
        <w:tc>
          <w:tcPr>
            <w:tcW w:type="dxa" w:w="1337"/>
          </w:tcPr>
          <w:p>
            <w:r>
              <w:rPr>
                <w:sz w:val="16"/>
              </w:rPr>
              <w:t>1.000000</w:t>
            </w:r>
          </w:p>
        </w:tc>
        <w:tc>
          <w:tcPr>
            <w:tcW w:type="dxa" w:w="1337"/>
          </w:tcPr>
          <w:p>
            <w:r>
              <w:rPr>
                <w:sz w:val="16"/>
              </w:rPr>
              <w:t>1.000000</w:t>
            </w:r>
          </w:p>
        </w:tc>
        <w:tc>
          <w:tcPr>
            <w:tcW w:type="dxa" w:w="1337"/>
          </w:tcPr>
          <w:p>
            <w:r>
              <w:rPr>
                <w:sz w:val="16"/>
              </w:rPr>
              <w:t>0.000000</w:t>
            </w:r>
          </w:p>
        </w:tc>
      </w:tr>
      <w:tr>
        <w:tc>
          <w:tcPr>
            <w:tcW w:type="dxa" w:w="1337"/>
          </w:tcPr>
          <w:p>
            <w:r>
              <w:rPr>
                <w:sz w:val="16"/>
              </w:rPr>
              <w:t>0.00</w:t>
            </w:r>
          </w:p>
        </w:tc>
        <w:tc>
          <w:tcPr>
            <w:tcW w:type="dxa" w:w="1337"/>
          </w:tcPr>
          <w:p>
            <w:r>
              <w:rPr>
                <w:sz w:val="16"/>
              </w:rPr>
              <w:t>rule-aware polytope</w:t>
            </w:r>
          </w:p>
        </w:tc>
        <w:tc>
          <w:tcPr>
            <w:tcW w:type="dxa" w:w="1337"/>
          </w:tcPr>
          <w:p>
            <w:r>
              <w:rPr>
                <w:sz w:val="16"/>
              </w:rPr>
              <w:t>1.000000</w:t>
            </w:r>
          </w:p>
        </w:tc>
        <w:tc>
          <w:tcPr>
            <w:tcW w:type="dxa" w:w="1337"/>
          </w:tcPr>
          <w:p>
            <w:r>
              <w:rPr>
                <w:sz w:val="16"/>
              </w:rPr>
              <w:t>0.000000</w:t>
            </w:r>
          </w:p>
        </w:tc>
        <w:tc>
          <w:tcPr>
            <w:tcW w:type="dxa" w:w="1337"/>
          </w:tcPr>
          <w:p>
            <w:r>
              <w:rPr>
                <w:sz w:val="16"/>
              </w:rPr>
              <w:t>1.000000</w:t>
            </w:r>
          </w:p>
        </w:tc>
        <w:tc>
          <w:tcPr>
            <w:tcW w:type="dxa" w:w="1337"/>
          </w:tcPr>
          <w:p>
            <w:r>
              <w:rPr>
                <w:sz w:val="16"/>
              </w:rPr>
              <w:t>0.845077</w:t>
            </w:r>
          </w:p>
        </w:tc>
        <w:tc>
          <w:tcPr>
            <w:tcW w:type="dxa" w:w="1337"/>
          </w:tcPr>
          <w:p>
            <w:r>
              <w:rPr>
                <w:sz w:val="16"/>
              </w:rPr>
              <w:t>0.000403</w:t>
            </w:r>
          </w:p>
        </w:tc>
      </w:tr>
      <w:tr>
        <w:tc>
          <w:tcPr>
            <w:tcW w:type="dxa" w:w="1337"/>
          </w:tcPr>
          <w:p>
            <w:r>
              <w:rPr>
                <w:sz w:val="16"/>
              </w:rPr>
              <w:t>0.05</w:t>
            </w:r>
          </w:p>
        </w:tc>
        <w:tc>
          <w:tcPr>
            <w:tcW w:type="dxa" w:w="1337"/>
          </w:tcPr>
          <w:p>
            <w:r>
              <w:rPr>
                <w:sz w:val="16"/>
              </w:rPr>
              <w:t>simplex-only</w:t>
            </w:r>
          </w:p>
        </w:tc>
        <w:tc>
          <w:tcPr>
            <w:tcW w:type="dxa" w:w="1337"/>
          </w:tcPr>
          <w:p>
            <w:r>
              <w:rPr>
                <w:sz w:val="16"/>
              </w:rPr>
              <w:t>1.000000</w:t>
            </w:r>
          </w:p>
        </w:tc>
        <w:tc>
          <w:tcPr>
            <w:tcW w:type="dxa" w:w="1337"/>
          </w:tcPr>
          <w:p>
            <w:r>
              <w:rPr>
                <w:sz w:val="16"/>
              </w:rPr>
              <w:t>0.000000</w:t>
            </w:r>
          </w:p>
        </w:tc>
        <w:tc>
          <w:tcPr>
            <w:tcW w:type="dxa" w:w="1337"/>
          </w:tcPr>
          <w:p>
            <w:r>
              <w:rPr>
                <w:sz w:val="16"/>
              </w:rPr>
              <w:t>1.000000</w:t>
            </w:r>
          </w:p>
        </w:tc>
        <w:tc>
          <w:tcPr>
            <w:tcW w:type="dxa" w:w="1337"/>
          </w:tcPr>
          <w:p>
            <w:r>
              <w:rPr>
                <w:sz w:val="16"/>
              </w:rPr>
              <w:t>1.000000</w:t>
            </w:r>
          </w:p>
        </w:tc>
        <w:tc>
          <w:tcPr>
            <w:tcW w:type="dxa" w:w="1337"/>
          </w:tcPr>
          <w:p>
            <w:r>
              <w:rPr>
                <w:sz w:val="16"/>
              </w:rPr>
              <w:t>0.000000</w:t>
            </w:r>
          </w:p>
        </w:tc>
      </w:tr>
      <w:tr>
        <w:tc>
          <w:tcPr>
            <w:tcW w:type="dxa" w:w="1337"/>
          </w:tcPr>
          <w:p>
            <w:r>
              <w:rPr>
                <w:sz w:val="16"/>
              </w:rPr>
              <w:t>0.05</w:t>
            </w:r>
          </w:p>
        </w:tc>
        <w:tc>
          <w:tcPr>
            <w:tcW w:type="dxa" w:w="1337"/>
          </w:tcPr>
          <w:p>
            <w:r>
              <w:rPr>
                <w:sz w:val="16"/>
              </w:rPr>
              <w:t>rule-aware polytope</w:t>
            </w:r>
          </w:p>
        </w:tc>
        <w:tc>
          <w:tcPr>
            <w:tcW w:type="dxa" w:w="1337"/>
          </w:tcPr>
          <w:p>
            <w:r>
              <w:rPr>
                <w:sz w:val="16"/>
              </w:rPr>
              <w:t>0.948800</w:t>
            </w:r>
          </w:p>
        </w:tc>
        <w:tc>
          <w:tcPr>
            <w:tcW w:type="dxa" w:w="1337"/>
          </w:tcPr>
          <w:p>
            <w:r>
              <w:rPr>
                <w:sz w:val="16"/>
              </w:rPr>
              <w:t>0.001800</w:t>
            </w:r>
          </w:p>
        </w:tc>
        <w:tc>
          <w:tcPr>
            <w:tcW w:type="dxa" w:w="1337"/>
          </w:tcPr>
          <w:p>
            <w:r>
              <w:rPr>
                <w:sz w:val="16"/>
              </w:rPr>
              <w:t>0.977933</w:t>
            </w:r>
          </w:p>
        </w:tc>
        <w:tc>
          <w:tcPr>
            <w:tcW w:type="dxa" w:w="1337"/>
          </w:tcPr>
          <w:p>
            <w:r>
              <w:rPr>
                <w:sz w:val="16"/>
              </w:rPr>
              <w:t>0.841868</w:t>
            </w:r>
          </w:p>
        </w:tc>
        <w:tc>
          <w:tcPr>
            <w:tcW w:type="dxa" w:w="1337"/>
          </w:tcPr>
          <w:p>
            <w:r>
              <w:rPr>
                <w:sz w:val="16"/>
              </w:rPr>
              <w:t>0.000452</w:t>
            </w:r>
          </w:p>
        </w:tc>
      </w:tr>
      <w:tr>
        <w:tc>
          <w:tcPr>
            <w:tcW w:type="dxa" w:w="1337"/>
          </w:tcPr>
          <w:p>
            <w:r>
              <w:rPr>
                <w:sz w:val="16"/>
              </w:rPr>
              <w:t>0.10</w:t>
            </w:r>
          </w:p>
        </w:tc>
        <w:tc>
          <w:tcPr>
            <w:tcW w:type="dxa" w:w="1337"/>
          </w:tcPr>
          <w:p>
            <w:r>
              <w:rPr>
                <w:sz w:val="16"/>
              </w:rPr>
              <w:t>simplex-only</w:t>
            </w:r>
          </w:p>
        </w:tc>
        <w:tc>
          <w:tcPr>
            <w:tcW w:type="dxa" w:w="1337"/>
          </w:tcPr>
          <w:p>
            <w:r>
              <w:rPr>
                <w:sz w:val="16"/>
              </w:rPr>
              <w:t>1.000000</w:t>
            </w:r>
          </w:p>
        </w:tc>
        <w:tc>
          <w:tcPr>
            <w:tcW w:type="dxa" w:w="1337"/>
          </w:tcPr>
          <w:p>
            <w:r>
              <w:rPr>
                <w:sz w:val="16"/>
              </w:rPr>
              <w:t>0.000000</w:t>
            </w:r>
          </w:p>
        </w:tc>
        <w:tc>
          <w:tcPr>
            <w:tcW w:type="dxa" w:w="1337"/>
          </w:tcPr>
          <w:p>
            <w:r>
              <w:rPr>
                <w:sz w:val="16"/>
              </w:rPr>
              <w:t>1.000000</w:t>
            </w:r>
          </w:p>
        </w:tc>
        <w:tc>
          <w:tcPr>
            <w:tcW w:type="dxa" w:w="1337"/>
          </w:tcPr>
          <w:p>
            <w:r>
              <w:rPr>
                <w:sz w:val="16"/>
              </w:rPr>
              <w:t>1.000000</w:t>
            </w:r>
          </w:p>
        </w:tc>
        <w:tc>
          <w:tcPr>
            <w:tcW w:type="dxa" w:w="1337"/>
          </w:tcPr>
          <w:p>
            <w:r>
              <w:rPr>
                <w:sz w:val="16"/>
              </w:rPr>
              <w:t>0.000000</w:t>
            </w:r>
          </w:p>
        </w:tc>
      </w:tr>
      <w:tr>
        <w:tc>
          <w:tcPr>
            <w:tcW w:type="dxa" w:w="1337"/>
          </w:tcPr>
          <w:p>
            <w:r>
              <w:rPr>
                <w:sz w:val="16"/>
              </w:rPr>
              <w:t>0.10</w:t>
            </w:r>
          </w:p>
        </w:tc>
        <w:tc>
          <w:tcPr>
            <w:tcW w:type="dxa" w:w="1337"/>
          </w:tcPr>
          <w:p>
            <w:r>
              <w:rPr>
                <w:sz w:val="16"/>
              </w:rPr>
              <w:t>rule-aware polytope</w:t>
            </w:r>
          </w:p>
        </w:tc>
        <w:tc>
          <w:tcPr>
            <w:tcW w:type="dxa" w:w="1337"/>
          </w:tcPr>
          <w:p>
            <w:r>
              <w:rPr>
                <w:sz w:val="16"/>
              </w:rPr>
              <w:t>0.898533</w:t>
            </w:r>
          </w:p>
        </w:tc>
        <w:tc>
          <w:tcPr>
            <w:tcW w:type="dxa" w:w="1337"/>
          </w:tcPr>
          <w:p>
            <w:r>
              <w:rPr>
                <w:sz w:val="16"/>
              </w:rPr>
              <w:t>0.002465</w:t>
            </w:r>
          </w:p>
        </w:tc>
        <w:tc>
          <w:tcPr>
            <w:tcW w:type="dxa" w:w="1337"/>
          </w:tcPr>
          <w:p>
            <w:r>
              <w:rPr>
                <w:sz w:val="16"/>
              </w:rPr>
              <w:t>0.957667</w:t>
            </w:r>
          </w:p>
        </w:tc>
        <w:tc>
          <w:tcPr>
            <w:tcW w:type="dxa" w:w="1337"/>
          </w:tcPr>
          <w:p>
            <w:r>
              <w:rPr>
                <w:sz w:val="16"/>
              </w:rPr>
              <w:t>0.837820</w:t>
            </w:r>
          </w:p>
        </w:tc>
        <w:tc>
          <w:tcPr>
            <w:tcW w:type="dxa" w:w="1337"/>
          </w:tcPr>
          <w:p>
            <w:r>
              <w:rPr>
                <w:sz w:val="16"/>
              </w:rPr>
              <w:t>0.000518</w:t>
            </w:r>
          </w:p>
        </w:tc>
      </w:tr>
      <w:tr>
        <w:tc>
          <w:tcPr>
            <w:tcW w:type="dxa" w:w="1337"/>
          </w:tcPr>
          <w:p>
            <w:r>
              <w:rPr>
                <w:sz w:val="16"/>
              </w:rPr>
              <w:t>0.20</w:t>
            </w:r>
          </w:p>
        </w:tc>
        <w:tc>
          <w:tcPr>
            <w:tcW w:type="dxa" w:w="1337"/>
          </w:tcPr>
          <w:p>
            <w:r>
              <w:rPr>
                <w:sz w:val="16"/>
              </w:rPr>
              <w:t>simplex-only</w:t>
            </w:r>
          </w:p>
        </w:tc>
        <w:tc>
          <w:tcPr>
            <w:tcW w:type="dxa" w:w="1337"/>
          </w:tcPr>
          <w:p>
            <w:r>
              <w:rPr>
                <w:sz w:val="16"/>
              </w:rPr>
              <w:t>1.000000</w:t>
            </w:r>
          </w:p>
        </w:tc>
        <w:tc>
          <w:tcPr>
            <w:tcW w:type="dxa" w:w="1337"/>
          </w:tcPr>
          <w:p>
            <w:r>
              <w:rPr>
                <w:sz w:val="16"/>
              </w:rPr>
              <w:t>0.000000</w:t>
            </w:r>
          </w:p>
        </w:tc>
        <w:tc>
          <w:tcPr>
            <w:tcW w:type="dxa" w:w="1337"/>
          </w:tcPr>
          <w:p>
            <w:r>
              <w:rPr>
                <w:sz w:val="16"/>
              </w:rPr>
              <w:t>1.000000</w:t>
            </w:r>
          </w:p>
        </w:tc>
        <w:tc>
          <w:tcPr>
            <w:tcW w:type="dxa" w:w="1337"/>
          </w:tcPr>
          <w:p>
            <w:r>
              <w:rPr>
                <w:sz w:val="16"/>
              </w:rPr>
              <w:t>1.000000</w:t>
            </w:r>
          </w:p>
        </w:tc>
        <w:tc>
          <w:tcPr>
            <w:tcW w:type="dxa" w:w="1337"/>
          </w:tcPr>
          <w:p>
            <w:r>
              <w:rPr>
                <w:sz w:val="16"/>
              </w:rPr>
              <w:t>0.000000</w:t>
            </w:r>
          </w:p>
        </w:tc>
      </w:tr>
      <w:tr>
        <w:tc>
          <w:tcPr>
            <w:tcW w:type="dxa" w:w="1337"/>
          </w:tcPr>
          <w:p>
            <w:r>
              <w:rPr>
                <w:sz w:val="16"/>
              </w:rPr>
              <w:t>0.20</w:t>
            </w:r>
          </w:p>
        </w:tc>
        <w:tc>
          <w:tcPr>
            <w:tcW w:type="dxa" w:w="1337"/>
          </w:tcPr>
          <w:p>
            <w:r>
              <w:rPr>
                <w:sz w:val="16"/>
              </w:rPr>
              <w:t>rule-aware polytope</w:t>
            </w:r>
          </w:p>
        </w:tc>
        <w:tc>
          <w:tcPr>
            <w:tcW w:type="dxa" w:w="1337"/>
          </w:tcPr>
          <w:p>
            <w:r>
              <w:rPr>
                <w:sz w:val="16"/>
              </w:rPr>
              <w:t>0.799867</w:t>
            </w:r>
          </w:p>
        </w:tc>
        <w:tc>
          <w:tcPr>
            <w:tcW w:type="dxa" w:w="1337"/>
          </w:tcPr>
          <w:p>
            <w:r>
              <w:rPr>
                <w:sz w:val="16"/>
              </w:rPr>
              <w:t>0.003267</w:t>
            </w:r>
          </w:p>
        </w:tc>
        <w:tc>
          <w:tcPr>
            <w:tcW w:type="dxa" w:w="1337"/>
          </w:tcPr>
          <w:p>
            <w:r>
              <w:rPr>
                <w:sz w:val="16"/>
              </w:rPr>
              <w:t>0.913533</w:t>
            </w:r>
          </w:p>
        </w:tc>
        <w:tc>
          <w:tcPr>
            <w:tcW w:type="dxa" w:w="1337"/>
          </w:tcPr>
          <w:p>
            <w:r>
              <w:rPr>
                <w:sz w:val="16"/>
              </w:rPr>
              <w:t>0.830918</w:t>
            </w:r>
          </w:p>
        </w:tc>
        <w:tc>
          <w:tcPr>
            <w:tcW w:type="dxa" w:w="1337"/>
          </w:tcPr>
          <w:p>
            <w:r>
              <w:rPr>
                <w:sz w:val="16"/>
              </w:rPr>
              <w:t>0.000584</w:t>
            </w:r>
          </w:p>
        </w:tc>
      </w:tr>
    </w:tbl>
    <w:p>
      <w:r>
        <w:rPr>
          <w:rFonts w:ascii="Times New Roman" w:hAnsi="Times New Roman"/>
          <w:sz w:val="22"/>
        </w:rPr>
        <w:t>[Insert Figure 3 near here]</w:t>
      </w:r>
    </w:p>
    <w:p>
      <w:r>
        <w:rPr>
          <w:rFonts w:ascii="Times New Roman" w:hAnsi="Times New Roman"/>
          <w:sz w:val="22"/>
        </w:rPr>
        <w:t>Under clean generation, joint-set and projection-envelope coverage are both one. Under outcome noise, the projection box can still contain an infeasible truth, so it overstates coverage. Across positive-noise paired replications, removing elimination increases joint-set coverage by 0.117600, compared with the old projection-envelope change 0.050289. Width results are unchanged because the correction changes the coverage predicate, not the LP bounds.</w:t>
      </w:r>
    </w:p>
    <w:p>
      <w:r>
        <w:rPr>
          <w:rFonts w:ascii="Times New Roman" w:hAnsi="Times New Roman"/>
          <w:b/>
          <w:sz w:val="22"/>
        </w:rPr>
        <w:t>Table 2. Paired effect of removing the elimination constraint.</w:t>
      </w:r>
      <w:r>
        <w:rPr>
          <w:rFonts w:ascii="Times New Roman" w:hAnsi="Times New Roman"/>
          <w:sz w:val="22"/>
        </w:rPr>
        <w:t xml:space="preserve"> Changes are without-elimination minus full rule-aware, calculated within the same generated case.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condition</w:t>
            </w:r>
          </w:p>
        </w:tc>
        <w:tc>
          <w:tcPr>
            <w:tcW w:type="dxa" w:w="1337"/>
          </w:tcPr>
          <w:p>
            <w:r>
              <w:rPr>
                <w:b/>
                <w:sz w:val="16"/>
              </w:rPr>
              <w:t>paired replications</w:t>
            </w:r>
          </w:p>
        </w:tc>
        <w:tc>
          <w:tcPr>
            <w:tcW w:type="dxa" w:w="1337"/>
          </w:tcPr>
          <w:p>
            <w:r>
              <w:rPr>
                <w:b/>
                <w:sz w:val="16"/>
              </w:rPr>
              <w:t>joint coverage change mean</w:t>
            </w:r>
          </w:p>
        </w:tc>
        <w:tc>
          <w:tcPr>
            <w:tcW w:type="dxa" w:w="1337"/>
          </w:tcPr>
          <w:p>
            <w:r>
              <w:rPr>
                <w:b/>
                <w:sz w:val="16"/>
              </w:rPr>
              <w:t>joint coverage change mcse</w:t>
            </w:r>
          </w:p>
        </w:tc>
        <w:tc>
          <w:tcPr>
            <w:tcW w:type="dxa" w:w="1337"/>
          </w:tcPr>
          <w:p>
            <w:r>
              <w:rPr>
                <w:b/>
                <w:sz w:val="16"/>
              </w:rPr>
              <w:t>legacy projection change mean</w:t>
            </w:r>
          </w:p>
        </w:tc>
        <w:tc>
          <w:tcPr>
            <w:tcW w:type="dxa" w:w="1337"/>
          </w:tcPr>
          <w:p>
            <w:r>
              <w:rPr>
                <w:b/>
                <w:sz w:val="16"/>
              </w:rPr>
              <w:t>width change mean</w:t>
            </w:r>
          </w:p>
        </w:tc>
        <w:tc>
          <w:tcPr>
            <w:tcW w:type="dxa" w:w="1337"/>
          </w:tcPr>
          <w:p>
            <w:r>
              <w:rPr>
                <w:b/>
                <w:sz w:val="16"/>
              </w:rPr>
              <w:t>width change mcse</w:t>
            </w:r>
          </w:p>
        </w:tc>
      </w:tr>
      <w:tr>
        <w:tc>
          <w:tcPr>
            <w:tcW w:type="dxa" w:w="1337"/>
          </w:tcPr>
          <w:p>
            <w:r>
              <w:rPr>
                <w:sz w:val="16"/>
              </w:rPr>
              <w:t>clean</w:t>
            </w:r>
          </w:p>
        </w:tc>
        <w:tc>
          <w:tcPr>
            <w:tcW w:type="dxa" w:w="1337"/>
          </w:tcPr>
          <w:p>
            <w:r>
              <w:rPr>
                <w:sz w:val="16"/>
              </w:rPr>
              <w:t>15000</w:t>
            </w:r>
          </w:p>
        </w:tc>
        <w:tc>
          <w:tcPr>
            <w:tcW w:type="dxa" w:w="1337"/>
          </w:tcPr>
          <w:p>
            <w:r>
              <w:rPr>
                <w:sz w:val="16"/>
              </w:rPr>
              <w:t>0.000000</w:t>
            </w:r>
          </w:p>
        </w:tc>
        <w:tc>
          <w:tcPr>
            <w:tcW w:type="dxa" w:w="1337"/>
          </w:tcPr>
          <w:p>
            <w:r>
              <w:rPr>
                <w:sz w:val="16"/>
              </w:rPr>
              <w:t>0.000000</w:t>
            </w:r>
          </w:p>
        </w:tc>
        <w:tc>
          <w:tcPr>
            <w:tcW w:type="dxa" w:w="1337"/>
          </w:tcPr>
          <w:p>
            <w:r>
              <w:rPr>
                <w:sz w:val="16"/>
              </w:rPr>
              <w:t>0.000000</w:t>
            </w:r>
          </w:p>
        </w:tc>
        <w:tc>
          <w:tcPr>
            <w:tcW w:type="dxa" w:w="1337"/>
          </w:tcPr>
          <w:p>
            <w:r>
              <w:rPr>
                <w:sz w:val="16"/>
              </w:rPr>
              <w:t>0.154923</w:t>
            </w:r>
          </w:p>
        </w:tc>
        <w:tc>
          <w:tcPr>
            <w:tcW w:type="dxa" w:w="1337"/>
          </w:tcPr>
          <w:p>
            <w:r>
              <w:rPr>
                <w:sz w:val="16"/>
              </w:rPr>
              <w:t>0.000403</w:t>
            </w:r>
          </w:p>
        </w:tc>
      </w:tr>
      <w:tr>
        <w:tc>
          <w:tcPr>
            <w:tcW w:type="dxa" w:w="1337"/>
          </w:tcPr>
          <w:p>
            <w:r>
              <w:rPr>
                <w:sz w:val="16"/>
              </w:rPr>
              <w:t>positive_noise</w:t>
            </w:r>
          </w:p>
        </w:tc>
        <w:tc>
          <w:tcPr>
            <w:tcW w:type="dxa" w:w="1337"/>
          </w:tcPr>
          <w:p>
            <w:r>
              <w:rPr>
                <w:sz w:val="16"/>
              </w:rPr>
              <w:t>45000</w:t>
            </w:r>
          </w:p>
        </w:tc>
        <w:tc>
          <w:tcPr>
            <w:tcW w:type="dxa" w:w="1337"/>
          </w:tcPr>
          <w:p>
            <w:r>
              <w:rPr>
                <w:sz w:val="16"/>
              </w:rPr>
              <w:t>0.117600</w:t>
            </w:r>
          </w:p>
        </w:tc>
        <w:tc>
          <w:tcPr>
            <w:tcW w:type="dxa" w:w="1337"/>
          </w:tcPr>
          <w:p>
            <w:r>
              <w:rPr>
                <w:sz w:val="16"/>
              </w:rPr>
              <w:t>0.001519</w:t>
            </w:r>
          </w:p>
        </w:tc>
        <w:tc>
          <w:tcPr>
            <w:tcW w:type="dxa" w:w="1337"/>
          </w:tcPr>
          <w:p>
            <w:r>
              <w:rPr>
                <w:sz w:val="16"/>
              </w:rPr>
              <w:t>0.050289</w:t>
            </w:r>
          </w:p>
        </w:tc>
        <w:tc>
          <w:tcPr>
            <w:tcW w:type="dxa" w:w="1337"/>
          </w:tcPr>
          <w:p>
            <w:r>
              <w:rPr>
                <w:sz w:val="16"/>
              </w:rPr>
              <w:t>0.163131</w:t>
            </w:r>
          </w:p>
        </w:tc>
        <w:tc>
          <w:tcPr>
            <w:tcW w:type="dxa" w:w="1337"/>
          </w:tcPr>
          <w:p>
            <w:r>
              <w:rPr>
                <w:sz w:val="16"/>
              </w:rPr>
              <w:t>0.000302</w:t>
            </w:r>
          </w:p>
        </w:tc>
      </w:tr>
    </w:tbl>
    <w:p>
      <w:r>
        <w:rPr>
          <w:rFonts w:ascii="Times New Roman" w:hAnsi="Times New Roman"/>
          <w:sz w:val="22"/>
        </w:rPr>
        <w:t>The direction of clean coverage and nested width is structural. The informative quantity is the magnitude under this generator, with its MCSE and stated misspecification boundary.</w:t>
      </w:r>
    </w:p>
    <w:p>
      <w:pPr>
        <w:pStyle w:val="Heading2"/>
      </w:pPr>
      <w:r>
        <w:t>8.2 Exact ordinal endpoints</w:t>
      </w:r>
    </w:p>
    <w:p>
      <w:r>
        <w:rPr>
          <w:rFonts w:ascii="Times New Roman" w:hAnsi="Times New Roman"/>
          <w:b/>
          <w:sz w:val="22"/>
        </w:rPr>
        <w:t>Table 3. Legacy sampled/enumerated width versus exact MILP endpoint width.</w:t>
      </w:r>
      <w:r>
        <w:rPr>
          <w:rFonts w:ascii="Times New Roman" w:hAnsi="Times New Roman"/>
          <w:sz w:val="22"/>
        </w:rPr>
        <w:t xml:space="preserve"> “Monte Carlo” describes the legacy feasible-fraction computation; all revised endpoints are exact.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6"/>
              </w:rPr>
              <w:t>regime</w:t>
            </w:r>
          </w:p>
        </w:tc>
        <w:tc>
          <w:tcPr>
            <w:tcW w:type="dxa" w:w="1560"/>
          </w:tcPr>
          <w:p>
            <w:r>
              <w:rPr>
                <w:b/>
                <w:sz w:val="16"/>
              </w:rPr>
              <w:t>enumeration method</w:t>
            </w:r>
          </w:p>
        </w:tc>
        <w:tc>
          <w:tcPr>
            <w:tcW w:type="dxa" w:w="1560"/>
          </w:tcPr>
          <w:p>
            <w:r>
              <w:rPr>
                <w:b/>
                <w:sz w:val="16"/>
              </w:rPr>
              <w:t>weeks</w:t>
            </w:r>
          </w:p>
        </w:tc>
        <w:tc>
          <w:tcPr>
            <w:tcW w:type="dxa" w:w="1560"/>
          </w:tcPr>
          <w:p>
            <w:r>
              <w:rPr>
                <w:b/>
                <w:sz w:val="16"/>
              </w:rPr>
              <w:t>legacy mean width</w:t>
            </w:r>
          </w:p>
        </w:tc>
        <w:tc>
          <w:tcPr>
            <w:tcW w:type="dxa" w:w="1560"/>
          </w:tcPr>
          <w:p>
            <w:r>
              <w:rPr>
                <w:b/>
                <w:sz w:val="16"/>
              </w:rPr>
              <w:t>exact mean width</w:t>
            </w:r>
          </w:p>
        </w:tc>
        <w:tc>
          <w:tcPr>
            <w:tcW w:type="dxa" w:w="1560"/>
          </w:tcPr>
          <w:p>
            <w:r>
              <w:rPr>
                <w:b/>
                <w:sz w:val="16"/>
              </w:rPr>
              <w:t>maximum correction</w:t>
            </w:r>
          </w:p>
        </w:tc>
      </w:tr>
      <w:tr>
        <w:tc>
          <w:tcPr>
            <w:tcW w:type="dxa" w:w="1560"/>
          </w:tcPr>
          <w:p>
            <w:r>
              <w:rPr>
                <w:sz w:val="16"/>
              </w:rPr>
              <w:t>R</w:t>
            </w:r>
          </w:p>
        </w:tc>
        <w:tc>
          <w:tcPr>
            <w:tcW w:type="dxa" w:w="1560"/>
          </w:tcPr>
          <w:p>
            <w:r>
              <w:rPr>
                <w:sz w:val="16"/>
              </w:rPr>
              <w:t>exact</w:t>
            </w:r>
          </w:p>
        </w:tc>
        <w:tc>
          <w:tcPr>
            <w:tcW w:type="dxa" w:w="1560"/>
          </w:tcPr>
          <w:p>
            <w:r>
              <w:rPr>
                <w:sz w:val="16"/>
              </w:rPr>
              <w:t>13</w:t>
            </w:r>
          </w:p>
        </w:tc>
        <w:tc>
          <w:tcPr>
            <w:tcW w:type="dxa" w:w="1560"/>
          </w:tcPr>
          <w:p>
            <w:r>
              <w:rPr>
                <w:sz w:val="16"/>
              </w:rPr>
              <w:t>0.885165</w:t>
            </w:r>
          </w:p>
        </w:tc>
        <w:tc>
          <w:tcPr>
            <w:tcW w:type="dxa" w:w="1560"/>
          </w:tcPr>
          <w:p>
            <w:r>
              <w:rPr>
                <w:sz w:val="16"/>
              </w:rPr>
              <w:t>0.885165</w:t>
            </w:r>
          </w:p>
        </w:tc>
        <w:tc>
          <w:tcPr>
            <w:tcW w:type="dxa" w:w="1560"/>
          </w:tcPr>
          <w:p>
            <w:r>
              <w:rPr>
                <w:sz w:val="16"/>
              </w:rPr>
              <w:t>0.000000</w:t>
            </w:r>
          </w:p>
        </w:tc>
      </w:tr>
      <w:tr>
        <w:tc>
          <w:tcPr>
            <w:tcW w:type="dxa" w:w="1560"/>
          </w:tcPr>
          <w:p>
            <w:r>
              <w:rPr>
                <w:sz w:val="16"/>
              </w:rPr>
              <w:t>R</w:t>
            </w:r>
          </w:p>
        </w:tc>
        <w:tc>
          <w:tcPr>
            <w:tcW w:type="dxa" w:w="1560"/>
          </w:tcPr>
          <w:p>
            <w:r>
              <w:rPr>
                <w:sz w:val="16"/>
              </w:rPr>
              <w:t>monte_carlo</w:t>
            </w:r>
          </w:p>
        </w:tc>
        <w:tc>
          <w:tcPr>
            <w:tcW w:type="dxa" w:w="1560"/>
          </w:tcPr>
          <w:p>
            <w:r>
              <w:rPr>
                <w:sz w:val="16"/>
              </w:rPr>
              <w:t>1</w:t>
            </w:r>
          </w:p>
        </w:tc>
        <w:tc>
          <w:tcPr>
            <w:tcW w:type="dxa" w:w="1560"/>
          </w:tcPr>
          <w:p>
            <w:r>
              <w:rPr>
                <w:sz w:val="16"/>
              </w:rPr>
              <w:t>0.966667</w:t>
            </w:r>
          </w:p>
        </w:tc>
        <w:tc>
          <w:tcPr>
            <w:tcW w:type="dxa" w:w="1560"/>
          </w:tcPr>
          <w:p>
            <w:r>
              <w:rPr>
                <w:sz w:val="16"/>
              </w:rPr>
              <w:t>0.966667</w:t>
            </w:r>
          </w:p>
        </w:tc>
        <w:tc>
          <w:tcPr>
            <w:tcW w:type="dxa" w:w="1560"/>
          </w:tcPr>
          <w:p>
            <w:r>
              <w:rPr>
                <w:sz w:val="16"/>
              </w:rPr>
              <w:t>-0.000000</w:t>
            </w:r>
          </w:p>
        </w:tc>
      </w:tr>
      <w:tr>
        <w:tc>
          <w:tcPr>
            <w:tcW w:type="dxa" w:w="1560"/>
          </w:tcPr>
          <w:p>
            <w:r>
              <w:rPr>
                <w:sz w:val="16"/>
              </w:rPr>
              <w:t>R_plus</w:t>
            </w:r>
          </w:p>
        </w:tc>
        <w:tc>
          <w:tcPr>
            <w:tcW w:type="dxa" w:w="1560"/>
          </w:tcPr>
          <w:p>
            <w:r>
              <w:rPr>
                <w:sz w:val="16"/>
              </w:rPr>
              <w:t>exact</w:t>
            </w:r>
          </w:p>
        </w:tc>
        <w:tc>
          <w:tcPr>
            <w:tcW w:type="dxa" w:w="1560"/>
          </w:tcPr>
          <w:p>
            <w:r>
              <w:rPr>
                <w:sz w:val="16"/>
              </w:rPr>
              <w:t>36</w:t>
            </w:r>
          </w:p>
        </w:tc>
        <w:tc>
          <w:tcPr>
            <w:tcW w:type="dxa" w:w="1560"/>
          </w:tcPr>
          <w:p>
            <w:r>
              <w:rPr>
                <w:sz w:val="16"/>
              </w:rPr>
              <w:t>0.865234</w:t>
            </w:r>
          </w:p>
        </w:tc>
        <w:tc>
          <w:tcPr>
            <w:tcW w:type="dxa" w:w="1560"/>
          </w:tcPr>
          <w:p>
            <w:r>
              <w:rPr>
                <w:sz w:val="16"/>
              </w:rPr>
              <w:t>0.865234</w:t>
            </w:r>
          </w:p>
        </w:tc>
        <w:tc>
          <w:tcPr>
            <w:tcW w:type="dxa" w:w="1560"/>
          </w:tcPr>
          <w:p>
            <w:r>
              <w:rPr>
                <w:sz w:val="16"/>
              </w:rPr>
              <w:t>0.000000</w:t>
            </w:r>
          </w:p>
        </w:tc>
      </w:tr>
      <w:tr>
        <w:tc>
          <w:tcPr>
            <w:tcW w:type="dxa" w:w="1560"/>
          </w:tcPr>
          <w:p>
            <w:r>
              <w:rPr>
                <w:sz w:val="16"/>
              </w:rPr>
              <w:t>R_plus</w:t>
            </w:r>
          </w:p>
        </w:tc>
        <w:tc>
          <w:tcPr>
            <w:tcW w:type="dxa" w:w="1560"/>
          </w:tcPr>
          <w:p>
            <w:r>
              <w:rPr>
                <w:sz w:val="16"/>
              </w:rPr>
              <w:t>monte_carlo</w:t>
            </w:r>
          </w:p>
        </w:tc>
        <w:tc>
          <w:tcPr>
            <w:tcW w:type="dxa" w:w="1560"/>
          </w:tcPr>
          <w:p>
            <w:r>
              <w:rPr>
                <w:sz w:val="16"/>
              </w:rPr>
              <w:t>37</w:t>
            </w:r>
          </w:p>
        </w:tc>
        <w:tc>
          <w:tcPr>
            <w:tcW w:type="dxa" w:w="1560"/>
          </w:tcPr>
          <w:p>
            <w:r>
              <w:rPr>
                <w:sz w:val="16"/>
              </w:rPr>
              <w:t>0.981046</w:t>
            </w:r>
          </w:p>
        </w:tc>
        <w:tc>
          <w:tcPr>
            <w:tcW w:type="dxa" w:w="1560"/>
          </w:tcPr>
          <w:p>
            <w:r>
              <w:rPr>
                <w:sz w:val="16"/>
              </w:rPr>
              <w:t>0.988184</w:t>
            </w:r>
          </w:p>
        </w:tc>
        <w:tc>
          <w:tcPr>
            <w:tcW w:type="dxa" w:w="1560"/>
          </w:tcPr>
          <w:p>
            <w:r>
              <w:rPr>
                <w:sz w:val="16"/>
              </w:rPr>
              <w:t>0.025641</w:t>
            </w:r>
          </w:p>
        </w:tc>
      </w:tr>
    </w:tbl>
    <w:p>
      <w:r>
        <w:rPr>
          <w:rFonts w:ascii="Times New Roman" w:hAnsi="Times New Roman"/>
          <w:sz w:val="22"/>
        </w:rPr>
        <w:t>Among 470 contestant-week rows whose legacy endpoints came from sampled permutations, 23 have at least one corrected endpoint. The maximum normalized width correction is 0.266667, and the mean correction is 0.007318. The revised primary-policy mean exact width is 0.890986 in R and 0.927551 in R-plus. Feasible fractions and the weak/direct feasible-count ratio remain Monte Carlo estimates in large fields; their binomial MCSE applies to those proportions only and is not used to justify endpoint accuracy.</w:t>
      </w:r>
    </w:p>
    <w:p>
      <w:pPr>
        <w:pStyle w:val="Heading2"/>
      </w:pPr>
      <w:r>
        <w:t>8.3 Rule-provenance sensitivity</w:t>
      </w:r>
    </w:p>
    <w:p>
      <w:r>
        <w:rPr>
          <w:rFonts w:ascii="Times New Roman" w:hAnsi="Times New Roman"/>
          <w:b/>
          <w:sz w:val="22"/>
        </w:rPr>
        <w:t>Table 4. Sensitivity to the uncertain season-28 rank-return assignment.</w:t>
      </w:r>
      <w:r>
        <w:rPr>
          <w:rFonts w:ascii="Times New Roman" w:hAnsi="Times New Roman"/>
          <w:sz w:val="22"/>
        </w:rPr>
        <w:t xml:space="preserve"> The primary scenario follows the COMAP reasonable assumption; the sensitivity excludes season 28 rather than asserting an undocumented alternative rule for 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rule provenance scenario</w:t>
            </w:r>
          </w:p>
        </w:tc>
        <w:tc>
          <w:tcPr>
            <w:tcW w:type="dxa" w:w="1872"/>
          </w:tcPr>
          <w:p>
            <w:r>
              <w:rPr>
                <w:b/>
                <w:sz w:val="16"/>
              </w:rPr>
              <w:t>weeks</w:t>
            </w:r>
          </w:p>
        </w:tc>
        <w:tc>
          <w:tcPr>
            <w:tcW w:type="dxa" w:w="1872"/>
          </w:tcPr>
          <w:p>
            <w:r>
              <w:rPr>
                <w:b/>
                <w:sz w:val="16"/>
              </w:rPr>
              <w:t>mean exact normalized rank width</w:t>
            </w:r>
          </w:p>
        </w:tc>
        <w:tc>
          <w:tcPr>
            <w:tcW w:type="dxa" w:w="1872"/>
          </w:tcPr>
          <w:p>
            <w:r>
              <w:rPr>
                <w:b/>
                <w:sz w:val="16"/>
              </w:rPr>
              <w:t>mean direct R like exact normalized rank width</w:t>
            </w:r>
          </w:p>
        </w:tc>
        <w:tc>
          <w:tcPr>
            <w:tcW w:type="dxa" w:w="1872"/>
          </w:tcPr>
          <w:p>
            <w:r>
              <w:rPr>
                <w:b/>
                <w:sz w:val="16"/>
              </w:rPr>
              <w:t>mean weak minus direct exact width</w:t>
            </w:r>
          </w:p>
        </w:tc>
      </w:tr>
      <w:tr>
        <w:tc>
          <w:tcPr>
            <w:tcW w:type="dxa" w:w="1872"/>
          </w:tcPr>
          <w:p>
            <w:r>
              <w:rPr>
                <w:sz w:val="16"/>
              </w:rPr>
              <w:t>primary_seasons_28_34</w:t>
            </w:r>
          </w:p>
        </w:tc>
        <w:tc>
          <w:tcPr>
            <w:tcW w:type="dxa" w:w="1872"/>
          </w:tcPr>
          <w:p>
            <w:r>
              <w:rPr>
                <w:sz w:val="16"/>
              </w:rPr>
              <w:t>73</w:t>
            </w:r>
          </w:p>
        </w:tc>
        <w:tc>
          <w:tcPr>
            <w:tcW w:type="dxa" w:w="1872"/>
          </w:tcPr>
          <w:p>
            <w:r>
              <w:rPr>
                <w:sz w:val="16"/>
              </w:rPr>
              <w:t>0.927551</w:t>
            </w:r>
          </w:p>
        </w:tc>
        <w:tc>
          <w:tcPr>
            <w:tcW w:type="dxa" w:w="1872"/>
          </w:tcPr>
          <w:p>
            <w:r>
              <w:rPr>
                <w:sz w:val="16"/>
              </w:rPr>
              <w:t>0.870842</w:t>
            </w:r>
          </w:p>
        </w:tc>
        <w:tc>
          <w:tcPr>
            <w:tcW w:type="dxa" w:w="1872"/>
          </w:tcPr>
          <w:p>
            <w:r>
              <w:rPr>
                <w:sz w:val="16"/>
              </w:rPr>
              <w:t>0.056710</w:t>
            </w:r>
          </w:p>
        </w:tc>
      </w:tr>
      <w:tr>
        <w:tc>
          <w:tcPr>
            <w:tcW w:type="dxa" w:w="1872"/>
          </w:tcPr>
          <w:p>
            <w:r>
              <w:rPr>
                <w:sz w:val="16"/>
              </w:rPr>
              <w:t>exclude_ambiguous_season_28</w:t>
            </w:r>
          </w:p>
        </w:tc>
        <w:tc>
          <w:tcPr>
            <w:tcW w:type="dxa" w:w="1872"/>
          </w:tcPr>
          <w:p>
            <w:r>
              <w:rPr>
                <w:sz w:val="16"/>
              </w:rPr>
              <w:t>62</w:t>
            </w:r>
          </w:p>
        </w:tc>
        <w:tc>
          <w:tcPr>
            <w:tcW w:type="dxa" w:w="1872"/>
          </w:tcPr>
          <w:p>
            <w:r>
              <w:rPr>
                <w:sz w:val="16"/>
              </w:rPr>
              <w:t>0.926487</w:t>
            </w:r>
          </w:p>
        </w:tc>
        <w:tc>
          <w:tcPr>
            <w:tcW w:type="dxa" w:w="1872"/>
          </w:tcPr>
          <w:p>
            <w:r>
              <w:rPr>
                <w:sz w:val="16"/>
              </w:rPr>
              <w:t>0.874510</w:t>
            </w:r>
          </w:p>
        </w:tc>
        <w:tc>
          <w:tcPr>
            <w:tcW w:type="dxa" w:w="1872"/>
          </w:tcPr>
          <w:p>
            <w:r>
              <w:rPr>
                <w:sz w:val="16"/>
              </w:rPr>
              <w:t>0.051978</w:t>
            </w:r>
          </w:p>
        </w:tc>
      </w:tr>
      <w:tr>
        <w:tc>
          <w:tcPr>
            <w:tcW w:type="dxa" w:w="1872"/>
          </w:tcPr>
          <w:p>
            <w:r>
              <w:rPr>
                <w:sz w:val="16"/>
              </w:rPr>
              <w:t>season_28_only</w:t>
            </w:r>
          </w:p>
        </w:tc>
        <w:tc>
          <w:tcPr>
            <w:tcW w:type="dxa" w:w="1872"/>
          </w:tcPr>
          <w:p>
            <w:r>
              <w:rPr>
                <w:sz w:val="16"/>
              </w:rPr>
              <w:t>11</w:t>
            </w:r>
          </w:p>
        </w:tc>
        <w:tc>
          <w:tcPr>
            <w:tcW w:type="dxa" w:w="1872"/>
          </w:tcPr>
          <w:p>
            <w:r>
              <w:rPr>
                <w:sz w:val="16"/>
              </w:rPr>
              <w:t>0.933547</w:t>
            </w:r>
          </w:p>
        </w:tc>
        <w:tc>
          <w:tcPr>
            <w:tcW w:type="dxa" w:w="1872"/>
          </w:tcPr>
          <w:p>
            <w:r>
              <w:rPr>
                <w:sz w:val="16"/>
              </w:rPr>
              <w:t>0.850167</w:t>
            </w:r>
          </w:p>
        </w:tc>
        <w:tc>
          <w:tcPr>
            <w:tcW w:type="dxa" w:w="1872"/>
          </w:tcPr>
          <w:p>
            <w:r>
              <w:rPr>
                <w:sz w:val="16"/>
              </w:rPr>
              <w:t>0.083379</w:t>
            </w:r>
          </w:p>
        </w:tc>
      </w:tr>
    </w:tbl>
    <w:p>
      <w:r>
        <w:rPr>
          <w:rFonts w:ascii="Times New Roman" w:hAnsi="Times New Roman"/>
          <w:sz w:val="22"/>
        </w:rPr>
        <w:t>The weak-minus-direct comparison is within the same week and exact for rank-support width. Cross-season averages are descriptive because candidate fields, expert scores, event types, and histories differ.</w:t>
      </w:r>
    </w:p>
    <w:p>
      <w:pPr>
        <w:pStyle w:val="Heading2"/>
      </w:pPr>
      <w:r>
        <w:t>8.4 Bayesian definition and undefined regions</w:t>
      </w:r>
    </w:p>
    <w:p>
      <w:r>
        <w:rPr>
          <w:rFonts w:ascii="Times New Roman" w:hAnsi="Times New Roman"/>
          <w:b/>
          <w:sz w:val="22"/>
        </w:rPr>
        <w:t>Table 5. Internal Bayesian rows below the fixed 100-accepted-draw threshold.</w:t>
      </w:r>
      <w:r>
        <w:rPr>
          <w:rFonts w:ascii="Times New Roman" w:hAnsi="Times New Roman"/>
          <w:sz w:val="22"/>
        </w:rPr>
        <w:t xml:space="preserve"> Denominators are complete; interval summaries are undefined in these rows.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n active</w:t>
            </w:r>
          </w:p>
        </w:tc>
        <w:tc>
          <w:tcPr>
            <w:tcW w:type="dxa" w:w="1337"/>
          </w:tcPr>
          <w:p>
            <w:r>
              <w:rPr>
                <w:b/>
                <w:sz w:val="16"/>
              </w:rPr>
              <w:t>outcome noise probability</w:t>
            </w:r>
          </w:p>
        </w:tc>
        <w:tc>
          <w:tcPr>
            <w:tcW w:type="dxa" w:w="1337"/>
          </w:tcPr>
          <w:p>
            <w:r>
              <w:rPr>
                <w:b/>
                <w:sz w:val="16"/>
              </w:rPr>
              <w:t>denominator</w:t>
            </w:r>
          </w:p>
        </w:tc>
        <w:tc>
          <w:tcPr>
            <w:tcW w:type="dxa" w:w="1337"/>
          </w:tcPr>
          <w:p>
            <w:r>
              <w:rPr>
                <w:b/>
                <w:sz w:val="16"/>
              </w:rPr>
              <w:t>undefined rows</w:t>
            </w:r>
          </w:p>
        </w:tc>
        <w:tc>
          <w:tcPr>
            <w:tcW w:type="dxa" w:w="1337"/>
          </w:tcPr>
          <w:p>
            <w:r>
              <w:rPr>
                <w:b/>
                <w:sz w:val="16"/>
              </w:rPr>
              <w:t>undefined rate</w:t>
            </w:r>
          </w:p>
        </w:tc>
        <w:tc>
          <w:tcPr>
            <w:tcW w:type="dxa" w:w="1337"/>
          </w:tcPr>
          <w:p>
            <w:r>
              <w:rPr>
                <w:b/>
                <w:sz w:val="16"/>
              </w:rPr>
              <w:t>accepted draws median</w:t>
            </w:r>
          </w:p>
        </w:tc>
        <w:tc>
          <w:tcPr>
            <w:tcW w:type="dxa" w:w="1337"/>
          </w:tcPr>
          <w:p>
            <w:r>
              <w:rPr>
                <w:b/>
                <w:sz w:val="16"/>
              </w:rPr>
              <w:t>accepted draws min</w:t>
            </w:r>
          </w:p>
        </w:tc>
      </w:tr>
      <w:tr>
        <w:tc>
          <w:tcPr>
            <w:tcW w:type="dxa" w:w="1337"/>
          </w:tcPr>
          <w:p>
            <w:r>
              <w:rPr>
                <w:sz w:val="16"/>
              </w:rPr>
              <w:t>4.0</w:t>
            </w:r>
          </w:p>
        </w:tc>
        <w:tc>
          <w:tcPr>
            <w:tcW w:type="dxa" w:w="1337"/>
          </w:tcPr>
          <w:p>
            <w:r>
              <w:rPr>
                <w:sz w:val="16"/>
              </w:rPr>
              <w:t>0.00</w:t>
            </w:r>
          </w:p>
        </w:tc>
        <w:tc>
          <w:tcPr>
            <w:tcW w:type="dxa" w:w="1337"/>
          </w:tcPr>
          <w:p>
            <w:r>
              <w:rPr>
                <w:sz w:val="16"/>
              </w:rPr>
              <w:t>5000</w:t>
            </w:r>
          </w:p>
        </w:tc>
        <w:tc>
          <w:tcPr>
            <w:tcW w:type="dxa" w:w="1337"/>
          </w:tcPr>
          <w:p>
            <w:r>
              <w:rPr>
                <w:sz w:val="16"/>
              </w:rPr>
              <w:t>3</w:t>
            </w:r>
          </w:p>
        </w:tc>
        <w:tc>
          <w:tcPr>
            <w:tcW w:type="dxa" w:w="1337"/>
          </w:tcPr>
          <w:p>
            <w:r>
              <w:rPr>
                <w:sz w:val="16"/>
              </w:rPr>
              <w:t>0.000600</w:t>
            </w:r>
          </w:p>
        </w:tc>
        <w:tc>
          <w:tcPr>
            <w:tcW w:type="dxa" w:w="1337"/>
          </w:tcPr>
          <w:p>
            <w:r>
              <w:rPr>
                <w:sz w:val="16"/>
              </w:rPr>
              <w:t>3999.0</w:t>
            </w:r>
          </w:p>
        </w:tc>
        <w:tc>
          <w:tcPr>
            <w:tcW w:type="dxa" w:w="1337"/>
          </w:tcPr>
          <w:p>
            <w:r>
              <w:rPr>
                <w:sz w:val="16"/>
              </w:rPr>
              <w:t>56</w:t>
            </w:r>
          </w:p>
        </w:tc>
      </w:tr>
      <w:tr>
        <w:tc>
          <w:tcPr>
            <w:tcW w:type="dxa" w:w="1337"/>
          </w:tcPr>
          <w:p>
            <w:r>
              <w:rPr>
                <w:sz w:val="16"/>
              </w:rPr>
              <w:t>4.0</w:t>
            </w:r>
          </w:p>
        </w:tc>
        <w:tc>
          <w:tcPr>
            <w:tcW w:type="dxa" w:w="1337"/>
          </w:tcPr>
          <w:p>
            <w:r>
              <w:rPr>
                <w:sz w:val="16"/>
              </w:rPr>
              <w:t>0.05</w:t>
            </w:r>
          </w:p>
        </w:tc>
        <w:tc>
          <w:tcPr>
            <w:tcW w:type="dxa" w:w="1337"/>
          </w:tcPr>
          <w:p>
            <w:r>
              <w:rPr>
                <w:sz w:val="16"/>
              </w:rPr>
              <w:t>5000</w:t>
            </w:r>
          </w:p>
        </w:tc>
        <w:tc>
          <w:tcPr>
            <w:tcW w:type="dxa" w:w="1337"/>
          </w:tcPr>
          <w:p>
            <w:r>
              <w:rPr>
                <w:sz w:val="16"/>
              </w:rPr>
              <w:t>4</w:t>
            </w:r>
          </w:p>
        </w:tc>
        <w:tc>
          <w:tcPr>
            <w:tcW w:type="dxa" w:w="1337"/>
          </w:tcPr>
          <w:p>
            <w:r>
              <w:rPr>
                <w:sz w:val="16"/>
              </w:rPr>
              <w:t>0.000800</w:t>
            </w:r>
          </w:p>
        </w:tc>
        <w:tc>
          <w:tcPr>
            <w:tcW w:type="dxa" w:w="1337"/>
          </w:tcPr>
          <w:p>
            <w:r>
              <w:rPr>
                <w:sz w:val="16"/>
              </w:rPr>
              <w:t>3967.5</w:t>
            </w:r>
          </w:p>
        </w:tc>
        <w:tc>
          <w:tcPr>
            <w:tcW w:type="dxa" w:w="1337"/>
          </w:tcPr>
          <w:p>
            <w:r>
              <w:rPr>
                <w:sz w:val="16"/>
              </w:rPr>
              <w:t>8</w:t>
            </w:r>
          </w:p>
        </w:tc>
      </w:tr>
      <w:tr>
        <w:tc>
          <w:tcPr>
            <w:tcW w:type="dxa" w:w="1337"/>
          </w:tcPr>
          <w:p>
            <w:r>
              <w:rPr>
                <w:sz w:val="16"/>
              </w:rPr>
              <w:t>4.0</w:t>
            </w:r>
          </w:p>
        </w:tc>
        <w:tc>
          <w:tcPr>
            <w:tcW w:type="dxa" w:w="1337"/>
          </w:tcPr>
          <w:p>
            <w:r>
              <w:rPr>
                <w:sz w:val="16"/>
              </w:rPr>
              <w:t>0.10</w:t>
            </w:r>
          </w:p>
        </w:tc>
        <w:tc>
          <w:tcPr>
            <w:tcW w:type="dxa" w:w="1337"/>
          </w:tcPr>
          <w:p>
            <w:r>
              <w:rPr>
                <w:sz w:val="16"/>
              </w:rPr>
              <w:t>5000</w:t>
            </w:r>
          </w:p>
        </w:tc>
        <w:tc>
          <w:tcPr>
            <w:tcW w:type="dxa" w:w="1337"/>
          </w:tcPr>
          <w:p>
            <w:r>
              <w:rPr>
                <w:sz w:val="16"/>
              </w:rPr>
              <w:t>9</w:t>
            </w:r>
          </w:p>
        </w:tc>
        <w:tc>
          <w:tcPr>
            <w:tcW w:type="dxa" w:w="1337"/>
          </w:tcPr>
          <w:p>
            <w:r>
              <w:rPr>
                <w:sz w:val="16"/>
              </w:rPr>
              <w:t>0.001800</w:t>
            </w:r>
          </w:p>
        </w:tc>
        <w:tc>
          <w:tcPr>
            <w:tcW w:type="dxa" w:w="1337"/>
          </w:tcPr>
          <w:p>
            <w:r>
              <w:rPr>
                <w:sz w:val="16"/>
              </w:rPr>
              <w:t>3856.0</w:t>
            </w:r>
          </w:p>
        </w:tc>
        <w:tc>
          <w:tcPr>
            <w:tcW w:type="dxa" w:w="1337"/>
          </w:tcPr>
          <w:p>
            <w:r>
              <w:rPr>
                <w:sz w:val="16"/>
              </w:rPr>
              <w:t>0</w:t>
            </w:r>
          </w:p>
        </w:tc>
      </w:tr>
      <w:tr>
        <w:tc>
          <w:tcPr>
            <w:tcW w:type="dxa" w:w="1337"/>
          </w:tcPr>
          <w:p>
            <w:r>
              <w:rPr>
                <w:sz w:val="16"/>
              </w:rPr>
              <w:t>4.0</w:t>
            </w:r>
          </w:p>
        </w:tc>
        <w:tc>
          <w:tcPr>
            <w:tcW w:type="dxa" w:w="1337"/>
          </w:tcPr>
          <w:p>
            <w:r>
              <w:rPr>
                <w:sz w:val="16"/>
              </w:rPr>
              <w:t>0.20</w:t>
            </w:r>
          </w:p>
        </w:tc>
        <w:tc>
          <w:tcPr>
            <w:tcW w:type="dxa" w:w="1337"/>
          </w:tcPr>
          <w:p>
            <w:r>
              <w:rPr>
                <w:sz w:val="16"/>
              </w:rPr>
              <w:t>5000</w:t>
            </w:r>
          </w:p>
        </w:tc>
        <w:tc>
          <w:tcPr>
            <w:tcW w:type="dxa" w:w="1337"/>
          </w:tcPr>
          <w:p>
            <w:r>
              <w:rPr>
                <w:sz w:val="16"/>
              </w:rPr>
              <w:t>15</w:t>
            </w:r>
          </w:p>
        </w:tc>
        <w:tc>
          <w:tcPr>
            <w:tcW w:type="dxa" w:w="1337"/>
          </w:tcPr>
          <w:p>
            <w:r>
              <w:rPr>
                <w:sz w:val="16"/>
              </w:rPr>
              <w:t>0.003000</w:t>
            </w:r>
          </w:p>
        </w:tc>
        <w:tc>
          <w:tcPr>
            <w:tcW w:type="dxa" w:w="1337"/>
          </w:tcPr>
          <w:p>
            <w:r>
              <w:rPr>
                <w:sz w:val="16"/>
              </w:rPr>
              <w:t>3718.0</w:t>
            </w:r>
          </w:p>
        </w:tc>
        <w:tc>
          <w:tcPr>
            <w:tcW w:type="dxa" w:w="1337"/>
          </w:tcPr>
          <w:p>
            <w:r>
              <w:rPr>
                <w:sz w:val="16"/>
              </w:rPr>
              <w:t>8</w:t>
            </w:r>
          </w:p>
        </w:tc>
      </w:tr>
      <w:tr>
        <w:tc>
          <w:tcPr>
            <w:tcW w:type="dxa" w:w="1337"/>
          </w:tcPr>
          <w:p>
            <w:r>
              <w:rPr>
                <w:sz w:val="16"/>
              </w:rPr>
              <w:t>5.0</w:t>
            </w:r>
          </w:p>
        </w:tc>
        <w:tc>
          <w:tcPr>
            <w:tcW w:type="dxa" w:w="1337"/>
          </w:tcPr>
          <w:p>
            <w:r>
              <w:rPr>
                <w:sz w:val="16"/>
              </w:rPr>
              <w:t>0.00</w:t>
            </w:r>
          </w:p>
        </w:tc>
        <w:tc>
          <w:tcPr>
            <w:tcW w:type="dxa" w:w="1337"/>
          </w:tcPr>
          <w:p>
            <w:r>
              <w:rPr>
                <w:sz w:val="16"/>
              </w:rPr>
              <w:t>5000</w:t>
            </w:r>
          </w:p>
        </w:tc>
        <w:tc>
          <w:tcPr>
            <w:tcW w:type="dxa" w:w="1337"/>
          </w:tcPr>
          <w:p>
            <w:r>
              <w:rPr>
                <w:sz w:val="16"/>
              </w:rPr>
              <w:t>3</w:t>
            </w:r>
          </w:p>
        </w:tc>
        <w:tc>
          <w:tcPr>
            <w:tcW w:type="dxa" w:w="1337"/>
          </w:tcPr>
          <w:p>
            <w:r>
              <w:rPr>
                <w:sz w:val="16"/>
              </w:rPr>
              <w:t>0.000600</w:t>
            </w:r>
          </w:p>
        </w:tc>
        <w:tc>
          <w:tcPr>
            <w:tcW w:type="dxa" w:w="1337"/>
          </w:tcPr>
          <w:p>
            <w:r>
              <w:rPr>
                <w:sz w:val="16"/>
              </w:rPr>
              <w:t>3676.0</w:t>
            </w:r>
          </w:p>
        </w:tc>
        <w:tc>
          <w:tcPr>
            <w:tcW w:type="dxa" w:w="1337"/>
          </w:tcPr>
          <w:p>
            <w:r>
              <w:rPr>
                <w:sz w:val="16"/>
              </w:rPr>
              <w:t>12</w:t>
            </w:r>
          </w:p>
        </w:tc>
      </w:tr>
      <w:tr>
        <w:tc>
          <w:tcPr>
            <w:tcW w:type="dxa" w:w="1337"/>
          </w:tcPr>
          <w:p>
            <w:r>
              <w:rPr>
                <w:sz w:val="16"/>
              </w:rPr>
              <w:t>5.0</w:t>
            </w:r>
          </w:p>
        </w:tc>
        <w:tc>
          <w:tcPr>
            <w:tcW w:type="dxa" w:w="1337"/>
          </w:tcPr>
          <w:p>
            <w:r>
              <w:rPr>
                <w:sz w:val="16"/>
              </w:rPr>
              <w:t>0.05</w:t>
            </w:r>
          </w:p>
        </w:tc>
        <w:tc>
          <w:tcPr>
            <w:tcW w:type="dxa" w:w="1337"/>
          </w:tcPr>
          <w:p>
            <w:r>
              <w:rPr>
                <w:sz w:val="16"/>
              </w:rPr>
              <w:t>5000</w:t>
            </w:r>
          </w:p>
        </w:tc>
        <w:tc>
          <w:tcPr>
            <w:tcW w:type="dxa" w:w="1337"/>
          </w:tcPr>
          <w:p>
            <w:r>
              <w:rPr>
                <w:sz w:val="16"/>
              </w:rPr>
              <w:t>6</w:t>
            </w:r>
          </w:p>
        </w:tc>
        <w:tc>
          <w:tcPr>
            <w:tcW w:type="dxa" w:w="1337"/>
          </w:tcPr>
          <w:p>
            <w:r>
              <w:rPr>
                <w:sz w:val="16"/>
              </w:rPr>
              <w:t>0.001200</w:t>
            </w:r>
          </w:p>
        </w:tc>
        <w:tc>
          <w:tcPr>
            <w:tcW w:type="dxa" w:w="1337"/>
          </w:tcPr>
          <w:p>
            <w:r>
              <w:rPr>
                <w:sz w:val="16"/>
              </w:rPr>
              <w:t>3619.0</w:t>
            </w:r>
          </w:p>
        </w:tc>
        <w:tc>
          <w:tcPr>
            <w:tcW w:type="dxa" w:w="1337"/>
          </w:tcPr>
          <w:p>
            <w:r>
              <w:rPr>
                <w:sz w:val="16"/>
              </w:rPr>
              <w:t>6</w:t>
            </w:r>
          </w:p>
        </w:tc>
      </w:tr>
      <w:tr>
        <w:tc>
          <w:tcPr>
            <w:tcW w:type="dxa" w:w="1337"/>
          </w:tcPr>
          <w:p>
            <w:r>
              <w:rPr>
                <w:sz w:val="16"/>
              </w:rPr>
              <w:t>5.0</w:t>
            </w:r>
          </w:p>
        </w:tc>
        <w:tc>
          <w:tcPr>
            <w:tcW w:type="dxa" w:w="1337"/>
          </w:tcPr>
          <w:p>
            <w:r>
              <w:rPr>
                <w:sz w:val="16"/>
              </w:rPr>
              <w:t>0.10</w:t>
            </w:r>
          </w:p>
        </w:tc>
        <w:tc>
          <w:tcPr>
            <w:tcW w:type="dxa" w:w="1337"/>
          </w:tcPr>
          <w:p>
            <w:r>
              <w:rPr>
                <w:sz w:val="16"/>
              </w:rPr>
              <w:t>5000</w:t>
            </w:r>
          </w:p>
        </w:tc>
        <w:tc>
          <w:tcPr>
            <w:tcW w:type="dxa" w:w="1337"/>
          </w:tcPr>
          <w:p>
            <w:r>
              <w:rPr>
                <w:sz w:val="16"/>
              </w:rPr>
              <w:t>12</w:t>
            </w:r>
          </w:p>
        </w:tc>
        <w:tc>
          <w:tcPr>
            <w:tcW w:type="dxa" w:w="1337"/>
          </w:tcPr>
          <w:p>
            <w:r>
              <w:rPr>
                <w:sz w:val="16"/>
              </w:rPr>
              <w:t>0.002400</w:t>
            </w:r>
          </w:p>
        </w:tc>
        <w:tc>
          <w:tcPr>
            <w:tcW w:type="dxa" w:w="1337"/>
          </w:tcPr>
          <w:p>
            <w:r>
              <w:rPr>
                <w:sz w:val="16"/>
              </w:rPr>
              <w:t>3568.5</w:t>
            </w:r>
          </w:p>
        </w:tc>
        <w:tc>
          <w:tcPr>
            <w:tcW w:type="dxa" w:w="1337"/>
          </w:tcPr>
          <w:p>
            <w:r>
              <w:rPr>
                <w:sz w:val="16"/>
              </w:rPr>
              <w:t>0</w:t>
            </w:r>
          </w:p>
        </w:tc>
      </w:tr>
      <w:tr>
        <w:tc>
          <w:tcPr>
            <w:tcW w:type="dxa" w:w="1337"/>
          </w:tcPr>
          <w:p>
            <w:r>
              <w:rPr>
                <w:sz w:val="16"/>
              </w:rPr>
              <w:t>5.0</w:t>
            </w:r>
          </w:p>
        </w:tc>
        <w:tc>
          <w:tcPr>
            <w:tcW w:type="dxa" w:w="1337"/>
          </w:tcPr>
          <w:p>
            <w:r>
              <w:rPr>
                <w:sz w:val="16"/>
              </w:rPr>
              <w:t>0.20</w:t>
            </w:r>
          </w:p>
        </w:tc>
        <w:tc>
          <w:tcPr>
            <w:tcW w:type="dxa" w:w="1337"/>
          </w:tcPr>
          <w:p>
            <w:r>
              <w:rPr>
                <w:sz w:val="16"/>
              </w:rPr>
              <w:t>5000</w:t>
            </w:r>
          </w:p>
        </w:tc>
        <w:tc>
          <w:tcPr>
            <w:tcW w:type="dxa" w:w="1337"/>
          </w:tcPr>
          <w:p>
            <w:r>
              <w:rPr>
                <w:sz w:val="16"/>
              </w:rPr>
              <w:t>17</w:t>
            </w:r>
          </w:p>
        </w:tc>
        <w:tc>
          <w:tcPr>
            <w:tcW w:type="dxa" w:w="1337"/>
          </w:tcPr>
          <w:p>
            <w:r>
              <w:rPr>
                <w:sz w:val="16"/>
              </w:rPr>
              <w:t>0.003400</w:t>
            </w:r>
          </w:p>
        </w:tc>
        <w:tc>
          <w:tcPr>
            <w:tcW w:type="dxa" w:w="1337"/>
          </w:tcPr>
          <w:p>
            <w:r>
              <w:rPr>
                <w:sz w:val="16"/>
              </w:rPr>
              <w:t>3451.0</w:t>
            </w:r>
          </w:p>
        </w:tc>
        <w:tc>
          <w:tcPr>
            <w:tcW w:type="dxa" w:w="1337"/>
          </w:tcPr>
          <w:p>
            <w:r>
              <w:rPr>
                <w:sz w:val="16"/>
              </w:rPr>
              <w:t>1</w:t>
            </w:r>
          </w:p>
        </w:tc>
      </w:tr>
      <w:tr>
        <w:tc>
          <w:tcPr>
            <w:tcW w:type="dxa" w:w="1337"/>
          </w:tcPr>
          <w:p>
            <w:r>
              <w:rPr>
                <w:sz w:val="16"/>
              </w:rPr>
              <w:t>6.0</w:t>
            </w:r>
          </w:p>
        </w:tc>
        <w:tc>
          <w:tcPr>
            <w:tcW w:type="dxa" w:w="1337"/>
          </w:tcPr>
          <w:p>
            <w:r>
              <w:rPr>
                <w:sz w:val="16"/>
              </w:rPr>
              <w:t>0.00</w:t>
            </w:r>
          </w:p>
        </w:tc>
        <w:tc>
          <w:tcPr>
            <w:tcW w:type="dxa" w:w="1337"/>
          </w:tcPr>
          <w:p>
            <w:r>
              <w:rPr>
                <w:sz w:val="16"/>
              </w:rPr>
              <w:t>5000</w:t>
            </w:r>
          </w:p>
        </w:tc>
        <w:tc>
          <w:tcPr>
            <w:tcW w:type="dxa" w:w="1337"/>
          </w:tcPr>
          <w:p>
            <w:r>
              <w:rPr>
                <w:sz w:val="16"/>
              </w:rPr>
              <w:t>4</w:t>
            </w:r>
          </w:p>
        </w:tc>
        <w:tc>
          <w:tcPr>
            <w:tcW w:type="dxa" w:w="1337"/>
          </w:tcPr>
          <w:p>
            <w:r>
              <w:rPr>
                <w:sz w:val="16"/>
              </w:rPr>
              <w:t>0.000800</w:t>
            </w:r>
          </w:p>
        </w:tc>
        <w:tc>
          <w:tcPr>
            <w:tcW w:type="dxa" w:w="1337"/>
          </w:tcPr>
          <w:p>
            <w:r>
              <w:rPr>
                <w:sz w:val="16"/>
              </w:rPr>
              <w:t>3452.0</w:t>
            </w:r>
          </w:p>
        </w:tc>
        <w:tc>
          <w:tcPr>
            <w:tcW w:type="dxa" w:w="1337"/>
          </w:tcPr>
          <w:p>
            <w:r>
              <w:rPr>
                <w:sz w:val="16"/>
              </w:rPr>
              <w:t>20</w:t>
            </w:r>
          </w:p>
        </w:tc>
      </w:tr>
      <w:tr>
        <w:tc>
          <w:tcPr>
            <w:tcW w:type="dxa" w:w="1337"/>
          </w:tcPr>
          <w:p>
            <w:r>
              <w:rPr>
                <w:sz w:val="16"/>
              </w:rPr>
              <w:t>6.0</w:t>
            </w:r>
          </w:p>
        </w:tc>
        <w:tc>
          <w:tcPr>
            <w:tcW w:type="dxa" w:w="1337"/>
          </w:tcPr>
          <w:p>
            <w:r>
              <w:rPr>
                <w:sz w:val="16"/>
              </w:rPr>
              <w:t>0.05</w:t>
            </w:r>
          </w:p>
        </w:tc>
        <w:tc>
          <w:tcPr>
            <w:tcW w:type="dxa" w:w="1337"/>
          </w:tcPr>
          <w:p>
            <w:r>
              <w:rPr>
                <w:sz w:val="16"/>
              </w:rPr>
              <w:t>5000</w:t>
            </w:r>
          </w:p>
        </w:tc>
        <w:tc>
          <w:tcPr>
            <w:tcW w:type="dxa" w:w="1337"/>
          </w:tcPr>
          <w:p>
            <w:r>
              <w:rPr>
                <w:sz w:val="16"/>
              </w:rPr>
              <w:t>3</w:t>
            </w:r>
          </w:p>
        </w:tc>
        <w:tc>
          <w:tcPr>
            <w:tcW w:type="dxa" w:w="1337"/>
          </w:tcPr>
          <w:p>
            <w:r>
              <w:rPr>
                <w:sz w:val="16"/>
              </w:rPr>
              <w:t>0.000600</w:t>
            </w:r>
          </w:p>
        </w:tc>
        <w:tc>
          <w:tcPr>
            <w:tcW w:type="dxa" w:w="1337"/>
          </w:tcPr>
          <w:p>
            <w:r>
              <w:rPr>
                <w:sz w:val="16"/>
              </w:rPr>
              <w:t>3400.0</w:t>
            </w:r>
          </w:p>
        </w:tc>
        <w:tc>
          <w:tcPr>
            <w:tcW w:type="dxa" w:w="1337"/>
          </w:tcPr>
          <w:p>
            <w:r>
              <w:rPr>
                <w:sz w:val="16"/>
              </w:rPr>
              <w:t>17</w:t>
            </w:r>
          </w:p>
        </w:tc>
      </w:tr>
      <w:tr>
        <w:tc>
          <w:tcPr>
            <w:tcW w:type="dxa" w:w="1337"/>
          </w:tcPr>
          <w:p>
            <w:r>
              <w:rPr>
                <w:sz w:val="16"/>
              </w:rPr>
              <w:t>6.0</w:t>
            </w:r>
          </w:p>
        </w:tc>
        <w:tc>
          <w:tcPr>
            <w:tcW w:type="dxa" w:w="1337"/>
          </w:tcPr>
          <w:p>
            <w:r>
              <w:rPr>
                <w:sz w:val="16"/>
              </w:rPr>
              <w:t>0.10</w:t>
            </w:r>
          </w:p>
        </w:tc>
        <w:tc>
          <w:tcPr>
            <w:tcW w:type="dxa" w:w="1337"/>
          </w:tcPr>
          <w:p>
            <w:r>
              <w:rPr>
                <w:sz w:val="16"/>
              </w:rPr>
              <w:t>5000</w:t>
            </w:r>
          </w:p>
        </w:tc>
        <w:tc>
          <w:tcPr>
            <w:tcW w:type="dxa" w:w="1337"/>
          </w:tcPr>
          <w:p>
            <w:r>
              <w:rPr>
                <w:sz w:val="16"/>
              </w:rPr>
              <w:t>5</w:t>
            </w:r>
          </w:p>
        </w:tc>
        <w:tc>
          <w:tcPr>
            <w:tcW w:type="dxa" w:w="1337"/>
          </w:tcPr>
          <w:p>
            <w:r>
              <w:rPr>
                <w:sz w:val="16"/>
              </w:rPr>
              <w:t>0.001000</w:t>
            </w:r>
          </w:p>
        </w:tc>
        <w:tc>
          <w:tcPr>
            <w:tcW w:type="dxa" w:w="1337"/>
          </w:tcPr>
          <w:p>
            <w:r>
              <w:rPr>
                <w:sz w:val="16"/>
              </w:rPr>
              <w:t>3362.0</w:t>
            </w:r>
          </w:p>
        </w:tc>
        <w:tc>
          <w:tcPr>
            <w:tcW w:type="dxa" w:w="1337"/>
          </w:tcPr>
          <w:p>
            <w:r>
              <w:rPr>
                <w:sz w:val="16"/>
              </w:rPr>
              <w:t>6</w:t>
            </w:r>
          </w:p>
        </w:tc>
      </w:tr>
      <w:tr>
        <w:tc>
          <w:tcPr>
            <w:tcW w:type="dxa" w:w="1337"/>
          </w:tcPr>
          <w:p>
            <w:r>
              <w:rPr>
                <w:sz w:val="16"/>
              </w:rPr>
              <w:t>6.0</w:t>
            </w:r>
          </w:p>
        </w:tc>
        <w:tc>
          <w:tcPr>
            <w:tcW w:type="dxa" w:w="1337"/>
          </w:tcPr>
          <w:p>
            <w:r>
              <w:rPr>
                <w:sz w:val="16"/>
              </w:rPr>
              <w:t>0.20</w:t>
            </w:r>
          </w:p>
        </w:tc>
        <w:tc>
          <w:tcPr>
            <w:tcW w:type="dxa" w:w="1337"/>
          </w:tcPr>
          <w:p>
            <w:r>
              <w:rPr>
                <w:sz w:val="16"/>
              </w:rPr>
              <w:t>5000</w:t>
            </w:r>
          </w:p>
        </w:tc>
        <w:tc>
          <w:tcPr>
            <w:tcW w:type="dxa" w:w="1337"/>
          </w:tcPr>
          <w:p>
            <w:r>
              <w:rPr>
                <w:sz w:val="16"/>
              </w:rPr>
              <w:t>13</w:t>
            </w:r>
          </w:p>
        </w:tc>
        <w:tc>
          <w:tcPr>
            <w:tcW w:type="dxa" w:w="1337"/>
          </w:tcPr>
          <w:p>
            <w:r>
              <w:rPr>
                <w:sz w:val="16"/>
              </w:rPr>
              <w:t>0.002600</w:t>
            </w:r>
          </w:p>
        </w:tc>
        <w:tc>
          <w:tcPr>
            <w:tcW w:type="dxa" w:w="1337"/>
          </w:tcPr>
          <w:p>
            <w:r>
              <w:rPr>
                <w:sz w:val="16"/>
              </w:rPr>
              <w:t>3216.5</w:t>
            </w:r>
          </w:p>
        </w:tc>
        <w:tc>
          <w:tcPr>
            <w:tcW w:type="dxa" w:w="1337"/>
          </w:tcPr>
          <w:p>
            <w:r>
              <w:rPr>
                <w:sz w:val="16"/>
              </w:rPr>
              <w:t>0</w:t>
            </w:r>
          </w:p>
        </w:tc>
      </w:tr>
    </w:tbl>
    <w:p>
      <w:r>
        <w:rPr>
          <w:rFonts w:ascii="Times New Roman" w:hAnsi="Times New Roman"/>
          <w:sz w:val="22"/>
        </w:rPr>
        <w:t>There are 94 undefined internal rows, including 10 clean rows; the exact external ordinal posterior has 0 undefined rows. In the clean same-information seed-cell comparison retained from the verified experiment, Bayesian intervals strictly Pareto-dominate rule-aware intervals in 14/120 cells, all in the external seven-candidate, three-round region; reverse dominance is 0/120. Those 14 external results do not arise from internal rejection failures. They remain conditional on the uniform compatible-ranking posterior and on the operational Pareto criterion.</w:t>
      </w:r>
    </w:p>
    <w:p>
      <w:pPr>
        <w:pStyle w:val="Heading2"/>
      </w:pPr>
      <w:r>
        <w:t>8.5 External simulation</w:t>
      </w:r>
    </w:p>
    <w:p>
      <w:r>
        <w:rPr>
          <w:rFonts w:ascii="Times New Roman" w:hAnsi="Times New Roman"/>
          <w:sz w:val="22"/>
        </w:rPr>
        <w:t>The external known-truth simulation retains the previously verified result: the rule-aware and rule-agnostic ordinal sets contain the complete generated ranking across all three small-field structures, while direct-rule misspecification can exclude it. [Insert Figure 4 near here.] These cases are exact finite-state computations within the simulator and do not validate a historical institution.</w:t>
      </w:r>
    </w:p>
    <w:p>
      <w:pPr>
        <w:pStyle w:val="Heading1"/>
      </w:pPr>
      <w:r>
        <w:t>9. Discussion</w:t>
      </w:r>
    </w:p>
    <w:p>
      <w:r>
        <w:rPr>
          <w:rFonts w:ascii="Times New Roman" w:hAnsi="Times New Roman"/>
          <w:sz w:val="22"/>
        </w:rPr>
        <w:t>The exact endpoint formulation removes the main numerical mismatch in the ordinal analysis. Sampling remains useful for estimating compatible-state proportions and posterior masses, but a proportion MCSE cannot certify discovery of rare support endpoints. Separating these targets avoids transferring an error measure from one statistic to another.</w:t>
      </w:r>
    </w:p>
    <w:p>
      <w:r>
        <w:rPr>
          <w:rFonts w:ascii="Times New Roman" w:hAnsi="Times New Roman"/>
          <w:sz w:val="22"/>
        </w:rPr>
        <w:t xml:space="preserve">The joint-coverage correction is equally consequential. Coordinate-wise sharp bounds summarize projections; they do not convert a polytope into a box. Reporting </w:t>
      </w:r>
      <m:oMath>
        <m:r>
          <m:rPr>
            <m:sz m:val="22"/>
          </m:rPr>
          <m:t>C_box</m:t>
        </m:r>
      </m:oMath>
      <w:r>
        <w:rPr>
          <w:rFonts w:ascii="Times New Roman" w:hAnsi="Times New Roman"/>
          <w:sz w:val="22"/>
        </w:rPr>
        <w:t xml:space="preserve"> as set coverage masked some rule violations. The corrected result makes the simulated mechanism transparent: if the recorded outcome contradicts the generating rule, the hard rule-aware polytope excludes the generating truth, whereas the simplex-only set retains it at a width cost.</w:t>
      </w:r>
    </w:p>
    <w:p>
      <w:r>
        <w:rPr>
          <w:rFonts w:ascii="Times New Roman" w:hAnsi="Times New Roman"/>
          <w:sz w:val="22"/>
        </w:rPr>
        <w:t>The paper does not derive a universal method-selection rule. Identified sets expose the consequences of institutional assumptions without adding a probability distribution within the set. Bayesian rectangles summarize probability under the fixed prior and zero-one likelihood. A user with a substantively defensible prior may prefer the latter; a user seeking assumption-transparent compatibility may prefer the former. Without an elicited loss function, coverage-width Pareto dominance is a descriptive screen rather than a complete decision theory.</w:t>
      </w:r>
    </w:p>
    <w:p>
      <w:pPr>
        <w:pStyle w:val="Heading1"/>
      </w:pPr>
      <w:r>
        <w:t>10. Limitations</w:t>
      </w:r>
    </w:p>
    <w:p>
      <w:r>
        <w:rPr>
          <w:rFonts w:ascii="Times New Roman" w:hAnsi="Times New Roman"/>
          <w:sz w:val="22"/>
        </w:rPr>
        <w:t>The empirical application identifies compatibility of latent public preferences; it does not produce an observed audience-vote estimate. The season-28 rule assignment is uncertain; excluding season 28 is reported, but undocumented historical tie-breaking and production decisions remain unidentified. Weekly rankings are not dynamically coupled. Exact endpoint MILPs do not give exact feasible-set cardinalities. The internal Bayesian rejection sampler has region-dependent failures and has not been replaced by a robust polytope sampler. Simulation results are conditional on the two generators, fixed grid, and specified noise process. No user, welfare, privacy, trust, cost, legal, or organizational outcome is measured; the earlier unmeasured “flexibility” and “accountability” figure panels and governance matrices are therefore removed from the main article.</w:t>
      </w:r>
    </w:p>
    <w:p>
      <w:pPr>
        <w:pStyle w:val="Heading1"/>
      </w:pPr>
      <w:r>
        <w:t>11. Conclusion</w:t>
      </w:r>
    </w:p>
    <w:p>
      <w:r>
        <w:rPr>
          <w:rFonts w:ascii="Times New Roman" w:hAnsi="Times New Roman"/>
          <w:sz w:val="22"/>
        </w:rPr>
        <w:t>Rule-constrained expert-crowd aggregation is naturally an inverse feasibility problem. Joint constraint membership is the correct coverage event for a polyhedral identified set, and exact optimization is the correct tool for sharp ordinal support endpoints when permutation enumeration is impractical. In this testbed, the corrections increase the measured coverage cost of outcome misspecification and reveal where sampled ordinal extrema were too narrow. The results support an auditable, rule-conditional methodology while leaving public preference partially identified.</w:t>
      </w:r>
    </w:p>
    <w:p>
      <w:pPr>
        <w:pStyle w:val="Heading1"/>
      </w:pPr>
      <w:r>
        <w:t>Data and code availability</w:t>
      </w:r>
    </w:p>
    <w:p>
      <w:r>
        <w:rPr>
          <w:rFonts w:ascii="Times New Roman" w:hAnsi="Times New Roman"/>
          <w:sz w:val="22"/>
        </w:rPr>
        <w:t xml:space="preserve">The empirical source is the official COMAP 2026 Problem C data file [14]. The local reproducibility bundle contains project-relative command-line scripts, fixed seeds, processed inputs, generated tables, tests, and hash manifests. The corrected Stage 32 code and evidence are publicly available in the versioned release </w:t>
      </w:r>
      <w:r>
        <w:rPr>
          <w:rFonts w:ascii="Times New Roman" w:hAnsi="Times New Roman"/>
          <w:b/>
          <w:sz w:val="22"/>
        </w:rPr>
        <w:t>ttps://github.com/denglizhen-113/coverage-width-tradeoffs-rule-constrained-aggregation/releases/tag/matcom-stage32-v1.0.</w:t>
      </w:r>
      <w:r>
        <w:rPr>
          <w:rFonts w:ascii="Times New Roman" w:hAnsi="Times New Roman"/>
          <w:sz w:val="22"/>
        </w:rPr>
        <w:t>. This statement identifies the public release directly and does not claim a persistent DOI archive.</w:t>
      </w:r>
    </w:p>
    <w:p>
      <w:pPr>
        <w:pStyle w:val="Heading1"/>
      </w:pPr>
      <w:r>
        <w:t>CRediT author contributions</w:t>
      </w:r>
    </w:p>
    <w:p>
      <w:r>
        <w:rPr>
          <w:rFonts w:ascii="Times New Roman" w:hAnsi="Times New Roman"/>
          <w:sz w:val="22"/>
        </w:rPr>
        <w:t>Lizhen Deng: Conceptualization; Methodology; Software; Formal analysis; Investigation; Visualization; Writing - original draft; Writing - review and editing; Project administration. Yuxin Liu: Resources; Data curation; Validation. Bo Li: Resources; Data curation; Writing - review and editing.</w:t>
      </w:r>
    </w:p>
    <w:p>
      <w:pPr>
        <w:pStyle w:val="Heading1"/>
      </w:pPr>
      <w:r>
        <w:t>Funding</w:t>
      </w:r>
    </w:p>
    <w:p>
      <w:r>
        <w:rPr>
          <w:rFonts w:ascii="Times New Roman" w:hAnsi="Times New Roman"/>
          <w:sz w:val="22"/>
        </w:rPr>
        <w:t>This research received no specific grant from funding agencies in the public, commercial, or not-for-profit sectors.</w:t>
      </w:r>
    </w:p>
    <w:p>
      <w:pPr>
        <w:pStyle w:val="Heading1"/>
      </w:pPr>
      <w:r>
        <w:t>Competing interests</w:t>
      </w:r>
    </w:p>
    <w:p>
      <w:r>
        <w:rPr>
          <w:rFonts w:ascii="Times New Roman" w:hAnsi="Times New Roman"/>
          <w:sz w:val="22"/>
        </w:rPr>
        <w:t>The authors declare no known competing financial interests or personal relationships that could have appeared to influence the work reported in this paper.</w:t>
      </w:r>
    </w:p>
    <w:p>
      <w:pPr>
        <w:pStyle w:val="Heading1"/>
      </w:pPr>
      <w:r>
        <w:t>Ethics statement</w:t>
      </w:r>
    </w:p>
    <w:p>
      <w:r>
        <w:rPr>
          <w:rFonts w:ascii="Times New Roman" w:hAnsi="Times New Roman"/>
          <w:sz w:val="22"/>
        </w:rPr>
        <w:t>The study uses an official public competition dataset and synthetic simulations. It involves no intervention with human participants, collection of private participant data, or recovery of individual audience votes.</w:t>
      </w:r>
    </w:p>
    <w:p>
      <w:pPr>
        <w:pStyle w:val="Heading1"/>
      </w:pPr>
      <w:r>
        <w:t>Declaration of generative AI and AI-assisted technologies</w:t>
      </w:r>
    </w:p>
    <w:p>
      <w:r>
        <w:rPr>
          <w:rFonts w:ascii="Times New Roman" w:hAnsi="Times New Roman"/>
          <w:sz w:val="22"/>
        </w:rPr>
        <w:t>During manuscript preparation, the authors used OpenAI ChatGPT/Codex for language editing, code review, test development, and reproducibility auditing. The authors reviewed and edited all outputs and take responsibility for the content.</w:t>
      </w:r>
    </w:p>
    <w:p>
      <w:pPr>
        <w:pStyle w:val="Heading1"/>
      </w:pPr>
      <w:r>
        <w:t>References</w:t>
      </w:r>
    </w:p>
    <w:p>
      <w:r>
        <w:rPr>
          <w:rFonts w:ascii="Times New Roman" w:hAnsi="Times New Roman"/>
          <w:sz w:val="22"/>
        </w:rPr>
        <w:t>[1] C.F. Manski, Identification problems and decisions under ambiguity, Journal of Econometrics 95 (2) (2000) 415-442. https://doi.org/10.1016/S0304-4076(99)00045-7.</w:t>
      </w:r>
    </w:p>
    <w:p>
      <w:r>
        <w:rPr>
          <w:rFonts w:ascii="Times New Roman" w:hAnsi="Times New Roman"/>
          <w:sz w:val="22"/>
        </w:rPr>
        <w:t>[2] E. Tamer, Partial Identification in Econometrics, Annual Review of Economics 2 (2010) 167-195. https://doi.org/10.1146/annurev.economics.050708.143401.</w:t>
      </w:r>
    </w:p>
    <w:p>
      <w:r>
        <w:rPr>
          <w:rFonts w:ascii="Times New Roman" w:hAnsi="Times New Roman"/>
          <w:sz w:val="22"/>
        </w:rPr>
        <w:t>[3] G.W. Imbens, C.F. Manski, Confidence intervals for partially identified parameters, Econometrica 72 (6) (2004) 1845-1857. https://doi.org/10.1111/j.1468-0262.2004.00555.x.</w:t>
      </w:r>
    </w:p>
    <w:p>
      <w:r>
        <w:rPr>
          <w:rFonts w:ascii="Times New Roman" w:hAnsi="Times New Roman"/>
          <w:sz w:val="22"/>
        </w:rPr>
        <w:t>[4] H. Kaido, F. Molinari, J. Stoye, Confidence Intervals for Projections of Partially Identified Parameters, Econometrica 87 (4) (2019) 1397-1432. https://doi.org/10.3982/ECTA14075.</w:t>
      </w:r>
    </w:p>
    <w:p>
      <w:r>
        <w:rPr>
          <w:rFonts w:ascii="Times New Roman" w:hAnsi="Times New Roman"/>
          <w:sz w:val="22"/>
        </w:rPr>
        <w:t>[5] H.R. Moon, F. Schorfheide, Bayesian and Frequentist Inference in Partially Identified Models, Econometrica 80 (2) (2012) 755-782. https://doi.org/10.3982/ECTA8360.</w:t>
      </w:r>
    </w:p>
    <w:p>
      <w:r>
        <w:rPr>
          <w:rFonts w:ascii="Times New Roman" w:hAnsi="Times New Roman"/>
          <w:sz w:val="22"/>
        </w:rPr>
        <w:t>[6] L. Xia, V. Conitzer, Determining Possible and Necessary Winners Given Partial Orders, Journal of Artificial Intelligence Research 41 (2011) 25-67. https://doi.org/10.1613/jair.3186.</w:t>
      </w:r>
    </w:p>
    <w:p>
      <w:r>
        <w:rPr>
          <w:rFonts w:ascii="Times New Roman" w:hAnsi="Times New Roman"/>
          <w:sz w:val="22"/>
        </w:rPr>
        <w:t>[7] N. Betzler, B. Dorn, Towards a dichotomy for the Possible Winner problem in elections based on scoring rules, Journal of Computer and System Sciences 76 (8) (2010) 812-836. https://doi.org/10.1016/j.jcss.2010.04.002.</w:t>
      </w:r>
    </w:p>
    <w:p>
      <w:r>
        <w:rPr>
          <w:rFonts w:ascii="Times New Roman" w:hAnsi="Times New Roman"/>
          <w:sz w:val="22"/>
        </w:rPr>
        <w:t>[8] Y. Bachrach, N. Betzler, P. Faliszewski, Probabilistic Possible Winner Determination, Proceedings of the AAAI Conference on Artificial Intelligence 24 (1) (2010) 697-702. https://doi.org/10.1609/aaai.v24i1.7609.</w:t>
      </w:r>
    </w:p>
    <w:p>
      <w:r>
        <w:rPr>
          <w:rFonts w:ascii="Times New Roman" w:hAnsi="Times New Roman"/>
          <w:sz w:val="22"/>
        </w:rPr>
        <w:t>[9] P. Dey, N. Misra, On the exact amount of missing information that makes finding possible winners hard, Journal of Computer and System Sciences 135 (2023) 32-54. https://doi.org/10.1016/j.jcss.2023.02.003.</w:t>
      </w:r>
    </w:p>
    <w:p>
      <w:r>
        <w:rPr>
          <w:rFonts w:ascii="Times New Roman" w:hAnsi="Times New Roman"/>
          <w:sz w:val="22"/>
        </w:rPr>
        <w:t>[10] T. Lu, C. Boutilier, Preference elicitation and robust winner determination for single- and multi-winner social choice, Artificial Intelligence 279 (2020) 103203. https://doi.org/10.1016/j.artint.2019.103203.</w:t>
      </w:r>
    </w:p>
    <w:p>
      <w:r>
        <w:rPr>
          <w:rFonts w:ascii="Times New Roman" w:hAnsi="Times New Roman"/>
          <w:sz w:val="22"/>
        </w:rPr>
        <w:t>[11] T.P. Morris, I.R. White, M.J. Crowther, Using simulation studies to evaluate statistical methods, Statistics in Medicine 38 (11) (2019) 2074-2102. https://doi.org/10.1002/sim.8086.</w:t>
      </w:r>
    </w:p>
    <w:p>
      <w:r>
        <w:rPr>
          <w:rFonts w:ascii="Times New Roman" w:hAnsi="Times New Roman"/>
          <w:sz w:val="22"/>
        </w:rPr>
        <w:t>[12] A. Burton, D.G. Altman, P. Royston, R.L. Holder, The design of simulation studies in medical statistics, Statistics in Medicine 25 (24) (2006) 4279-4292. https://doi.org/10.1002/sim.2673.</w:t>
      </w:r>
    </w:p>
    <w:p>
      <w:r>
        <w:rPr>
          <w:rFonts w:ascii="Times New Roman" w:hAnsi="Times New Roman"/>
          <w:sz w:val="22"/>
        </w:rPr>
        <w:t>[13] T. Monks, C.S.M. Currie, B.S. Onggo, S. Robinson, M. Kunc, S.J.E. Taylor, Strengthening the reporting of empirical simulation studies: Introducing the STRESS guidelines, Journal of Simulation 13 (1) (2019) 55-67. https://doi.org/10.1080/17477778.2018.1442155.</w:t>
      </w:r>
    </w:p>
    <w:p>
      <w:r>
        <w:rPr>
          <w:rFonts w:ascii="Times New Roman" w:hAnsi="Times New Roman"/>
          <w:sz w:val="22"/>
        </w:rPr>
        <w:t>[14] COMAP, 2026 MCM Problem C: Data With The Stars, The Consortium for Mathematics and Its Applications, 2026. https://contest.comap.com/undergraduate/contests/mcm/contests/2026/problems/index.html (accessed 2026-08-21).</w:t>
      </w:r>
    </w:p>
    <w:p>
      <w:pPr>
        <w:pStyle w:val="Heading1"/>
      </w:pPr>
      <w:r>
        <w:t>Figure captions</w:t>
      </w:r>
    </w:p>
    <w:p>
      <w:r>
        <w:rPr>
          <w:rFonts w:ascii="Times New Roman" w:hAnsi="Times New Roman"/>
          <w:b/>
          <w:sz w:val="22"/>
        </w:rPr>
        <w:t>Figure 1. Rule-conditioned inverse-inference architecture.</w:t>
      </w:r>
      <w:r>
        <w:rPr>
          <w:rFonts w:ascii="Times New Roman" w:hAnsi="Times New Roman"/>
          <w:sz w:val="22"/>
        </w:rPr>
        <w:t xml:space="preserve"> Observed expert inputs, the stated aggregation rule, and coarse outcomes map to a cardinal polytope or ordinal feasible-ranking set. Latent public preference remains partially identified.</w:t>
      </w:r>
    </w:p>
    <w:p>
      <w:r>
        <w:rPr>
          <w:rFonts w:ascii="Times New Roman" w:hAnsi="Times New Roman"/>
          <w:b/>
          <w:sz w:val="22"/>
        </w:rPr>
        <w:t>Figure 2. Reproducible comparison workflow.</w:t>
      </w:r>
      <w:r>
        <w:rPr>
          <w:rFonts w:ascii="Times New Roman" w:hAnsi="Times New Roman"/>
          <w:sz w:val="22"/>
        </w:rPr>
        <w:t xml:space="preserve"> The workflow separates configuration, information alignment, inference, simulation evaluation, and evidence auditing. Known-truth coverage is evaluated only in simulation.</w:t>
      </w:r>
    </w:p>
    <w:p>
      <w:r>
        <w:rPr>
          <w:rFonts w:ascii="Times New Roman" w:hAnsi="Times New Roman"/>
          <w:b/>
          <w:sz w:val="22"/>
        </w:rPr>
        <w:t>Figure 3. Corrected internal coverage-width evaluation.</w:t>
      </w:r>
      <w:r>
        <w:rPr>
          <w:rFonts w:ascii="Times New Roman" w:hAnsi="Times New Roman"/>
          <w:sz w:val="22"/>
        </w:rPr>
        <w:t xml:space="preserve"> Panel (a) distinguishes joint polytope membership from the legacy Cartesian product of marginal bounds; panel (b) reports mean coordinate width. Error bars are 95% Monte Carlo error intervals, estimate plus or minus 1.96 MCSE, over simulated replications. Outcome noise is a specified misspecification stress test.</w:t>
      </w:r>
    </w:p>
    <w:p>
      <w:r>
        <w:rPr>
          <w:rFonts w:ascii="Times New Roman" w:hAnsi="Times New Roman"/>
          <w:b/>
          <w:sz w:val="22"/>
        </w:rPr>
        <w:t>Figure 4. External ordinal simulation.</w:t>
      </w:r>
      <w:r>
        <w:rPr>
          <w:rFonts w:ascii="Times New Roman" w:hAnsi="Times New Roman"/>
          <w:sz w:val="22"/>
        </w:rPr>
        <w:t xml:space="preserve"> Known-truth coverage and normalized rank-support width across the three predeclared small-field structures. Results are conditional on the simulator and named tie policy.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Coverage-Width Tradeoffs in Rule-Constrained Expert-Crowd Aggregation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