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isma-2020-checklist"/>
    <w:p>
      <w:pPr>
        <w:pStyle w:val="Heading1"/>
      </w:pPr>
      <w:r>
        <w:t xml:space="preserve">PRISMA 2020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Location/reporting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Title identifies a systematic reanalysis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Structured summary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Objectives</w:t>
            </w:r>
          </w:p>
        </w:tc>
        <w:tc>
          <w:tcPr/>
          <w:p>
            <w:pPr>
              <w:pStyle w:val="Compact"/>
            </w:pPr>
            <w:r>
              <w:t xml:space="preserve">Introduction, final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Eligibility criteria</w:t>
            </w:r>
          </w:p>
        </w:tc>
        <w:tc>
          <w:tcPr/>
          <w:p>
            <w:pPr>
              <w:pStyle w:val="Compact"/>
            </w:pPr>
            <w:r>
              <w:t xml:space="preserve">Methods: Search strategy and eligibility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Information sources and last search date</w:t>
            </w:r>
          </w:p>
        </w:tc>
        <w:tc>
          <w:tcPr/>
          <w:p>
            <w:pPr>
              <w:pStyle w:val="Compact"/>
            </w:pPr>
            <w:r>
              <w:t xml:space="preserve">Methods; Supplementary Table S19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Full search strategies</w:t>
            </w:r>
          </w:p>
        </w:tc>
        <w:tc>
          <w:tcPr/>
          <w:p>
            <w:pPr>
              <w:pStyle w:val="Compact"/>
            </w:pPr>
            <w:r>
              <w:t xml:space="preserve">Source_Data_M19.zip search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Selection process</w:t>
            </w:r>
          </w:p>
        </w:tc>
        <w:tc>
          <w:tcPr/>
          <w:p>
            <w:pPr>
              <w:pStyle w:val="Compact"/>
            </w:pPr>
            <w:r>
              <w:t xml:space="preserve">Methods; Figure 1; Supplementary Table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Data collection process</w:t>
            </w:r>
          </w:p>
        </w:tc>
        <w:tc>
          <w:tcPr/>
          <w:p>
            <w:pPr>
              <w:pStyle w:val="Compact"/>
            </w:pPr>
            <w:r>
              <w:t xml:space="preserve">Methods: Expression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10a</w:t>
            </w:r>
          </w:p>
        </w:tc>
        <w:tc>
          <w:tcPr/>
          <w:p>
            <w:pPr>
              <w:pStyle w:val="Compact"/>
            </w:pPr>
            <w:r>
              <w:t xml:space="preserve">Outcomes and variables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Risk of bias/confounding assessment</w:t>
            </w:r>
          </w:p>
        </w:tc>
        <w:tc>
          <w:tcPr/>
          <w:p>
            <w:pPr>
              <w:pStyle w:val="Compact"/>
            </w:pPr>
            <w:r>
              <w:t xml:space="preserve">Robustness/QC and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Effect measures</w:t>
            </w:r>
          </w:p>
        </w:tc>
        <w:tc>
          <w:tcPr/>
          <w:p>
            <w:pPr>
              <w:pStyle w:val="Compact"/>
            </w:pPr>
            <w:r>
              <w:t xml:space="preserve">Methods: Hedges'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13a</w:t>
            </w:r>
          </w:p>
        </w:tc>
        <w:tc>
          <w:tcPr/>
          <w:p>
            <w:pPr>
              <w:pStyle w:val="Compact"/>
            </w:pPr>
            <w:r>
              <w:t xml:space="preserve">Synthesis eligibility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13d</w:t>
            </w:r>
          </w:p>
        </w:tc>
        <w:tc>
          <w:tcPr/>
          <w:p>
            <w:pPr>
              <w:pStyle w:val="Compac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</w:pPr>
            <w:r>
              <w:t xml:space="preserve">Results and Supplementary Tables S9-S15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Reporting bias</w:t>
            </w:r>
          </w:p>
        </w:tc>
        <w:tc>
          <w:tcPr/>
          <w:p>
            <w:pPr>
              <w:pStyle w:val="Compact"/>
            </w:pPr>
            <w:r>
              <w:t xml:space="preserve">Not formally estimable with three primary studies; stated in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Certainty assessment</w:t>
            </w:r>
          </w:p>
        </w:tc>
        <w:tc>
          <w:tcPr/>
          <w:p>
            <w:pPr>
              <w:pStyle w:val="Compact"/>
            </w:pPr>
            <w:r>
              <w:t xml:space="preserve">No formal GRADE; bounded inferential language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16a</w:t>
            </w:r>
          </w:p>
        </w:tc>
        <w:tc>
          <w:tcPr/>
          <w:p>
            <w:pPr>
              <w:pStyle w:val="Compact"/>
            </w:pPr>
            <w:r>
              <w:t xml:space="preserve">Study selection</w:t>
            </w:r>
          </w:p>
        </w:tc>
        <w:tc>
          <w:tcPr/>
          <w:p>
            <w:pPr>
              <w:pStyle w:val="Compac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Study characteristics</w:t>
            </w:r>
          </w:p>
        </w:tc>
        <w:tc>
          <w:tcPr/>
          <w:p>
            <w:pPr>
              <w:pStyle w:val="Compact"/>
            </w:pPr>
            <w:r>
              <w:t xml:space="preserve">Table 1; Supplementary Table 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Individual study results</w:t>
            </w:r>
          </w:p>
        </w:tc>
        <w:tc>
          <w:tcPr/>
          <w:p>
            <w:pPr>
              <w:pStyle w:val="Compact"/>
            </w:pPr>
            <w:r>
              <w:t xml:space="preserve">Figure 4; Supplementary Tables S5-S6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Synthesis results</w:t>
            </w:r>
          </w:p>
        </w:tc>
        <w:tc>
          <w:tcPr/>
          <w:p>
            <w:pPr>
              <w:pStyle w:val="Compact"/>
            </w:pPr>
            <w:r>
              <w:t xml:space="preserve">Results; Figures 3-4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Certainty</w:t>
            </w:r>
          </w:p>
        </w:tc>
        <w:tc>
          <w:tcPr/>
          <w:p>
            <w:pPr>
              <w:pStyle w:val="Compact"/>
            </w:pPr>
            <w:r>
              <w:t xml:space="preserve">Discussion and Limitations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Registration/protocol</w:t>
            </w:r>
          </w:p>
        </w:tc>
        <w:tc>
          <w:tcPr/>
          <w:p>
            <w:pPr>
              <w:pStyle w:val="Compact"/>
            </w:pPr>
            <w:r>
              <w:t xml:space="preserve">Not registered; stated explicitly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Funding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Competing interests</w:t>
            </w:r>
          </w:p>
        </w:tc>
        <w:tc>
          <w:tcPr/>
          <w:p>
            <w:pPr>
              <w:pStyle w:val="Compact"/>
            </w:pPr>
            <w:r>
              <w:t xml:space="preserve">Competing interests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Data and Code availability</w:t>
            </w:r>
          </w:p>
        </w:tc>
      </w:tr>
    </w:tbl>
    <w:bookmarkEnd w:id="9"/>
    <w:sectPr>
      <w:footerReference w:type="default" r:id="rId9"/>
      <w:footnotePr>
        <w:numRestart w:val="eachSect"/>
      </w:footnotePr>
      <w:pgMar w:top="1224" w:bottom="1224" w:left="1296" w:right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2026-08-20T18:40:25Z</dcterms:created>
  <dcterms:modified xsi:type="dcterms:W3CDTF">2026-08-20T18:40:25Z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