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2020-checklist"/>
    <w:p>
      <w:pPr>
        <w:pStyle w:val="Heading1"/>
      </w:pPr>
      <w:r>
        <w:t xml:space="preserve">PRISMA 2020 Checklist</w:t>
      </w:r>
    </w:p>
    <w:p>
      <w:pPr>
        <w:pStyle w:val="FirstParagraph"/>
      </w:pPr>
      <w:r>
        <w:t xml:space="preserve">Study: Compartment-Stratified Systematic Reanalysis of Complement, Coagulation, and Matrix Transcriptional Programs in Diabetic Kidney Disease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PRISMA 2020 requirement</w:t>
            </w:r>
          </w:p>
        </w:tc>
        <w:tc>
          <w:tcPr/>
          <w:p>
            <w:pPr>
              <w:pStyle w:val="Compact"/>
            </w:pPr>
            <w:r>
              <w:t xml:space="preserve">Location/reporting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Identify the report as a systematic review</w:t>
            </w:r>
          </w:p>
        </w:tc>
        <w:tc>
          <w:tcPr/>
          <w:p>
            <w:pPr>
              <w:pStyle w:val="Compact"/>
            </w:pPr>
            <w:r>
              <w:t xml:space="preserve">Title identifies a systematic reanalysis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Report all PRISMA for Abstracts items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Describe the rationale in context</w:t>
            </w:r>
          </w:p>
        </w:tc>
        <w:tc>
          <w:tcPr/>
          <w:p>
            <w:pPr>
              <w:pStyle w:val="Compact"/>
            </w:pPr>
            <w:r>
              <w:t xml:space="preserve">Introduction, paragraphs 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Provide an explicit objective/question</w:t>
            </w:r>
          </w:p>
        </w:tc>
        <w:tc>
          <w:tcPr/>
          <w:p>
            <w:pPr>
              <w:pStyle w:val="Compact"/>
            </w:pPr>
            <w:r>
              <w:t xml:space="preserve">Introduction, final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Specify inclusion/exclusion criteria and synthesis grouping</w:t>
            </w:r>
          </w:p>
        </w:tc>
        <w:tc>
          <w:tcPr/>
          <w:p>
            <w:pPr>
              <w:pStyle w:val="Compact"/>
            </w:pPr>
            <w:r>
              <w:t xml:space="preserve">Methods: Search, eligibility and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Specify all information sources and last search date</w:t>
            </w:r>
          </w:p>
        </w:tc>
        <w:tc>
          <w:tcPr/>
          <w:p>
            <w:pPr>
              <w:pStyle w:val="Compact"/>
            </w:pPr>
            <w:r>
              <w:t xml:space="preserve">Methods: Search, eligibility and selection; Supplementary Tables S25–S27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Present complete search strategies</w:t>
            </w:r>
          </w:p>
        </w:tc>
        <w:tc>
          <w:tcPr/>
          <w:p>
            <w:pPr>
              <w:pStyle w:val="Compact"/>
            </w:pPr>
            <w:r>
              <w:t xml:space="preserve">Source_Data_M20.zip/systematic_search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Describe selection methods, reviewers and automation</w:t>
            </w:r>
          </w:p>
        </w:tc>
        <w:tc>
          <w:tcPr/>
          <w:p>
            <w:pPr>
              <w:pStyle w:val="Compact"/>
            </w:pPr>
            <w:r>
              <w:t xml:space="preserve">Methods: Search, eligibility and selection; Supplementary Table S22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Describe data collection and reviewer/automation process</w:t>
            </w:r>
          </w:p>
        </w:tc>
        <w:tc>
          <w:tcPr/>
          <w:p>
            <w:pPr>
              <w:pStyle w:val="Compact"/>
            </w:pPr>
            <w:r>
              <w:t xml:space="preserve">Methods: Pathway family and expression processing; 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t xml:space="preserve">Define all outcomes sought</w:t>
            </w:r>
          </w:p>
        </w:tc>
        <w:tc>
          <w:tcPr/>
          <w:p>
            <w:pPr>
              <w:pStyle w:val="Compact"/>
            </w:pPr>
            <w:r>
              <w:t xml:space="preserve">Introduction objectives; Methods: Gene synthesis and pathway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Define other variables sought and assumptions for missing information</w:t>
            </w:r>
          </w:p>
        </w:tc>
        <w:tc>
          <w:tcPr/>
          <w:p>
            <w:pPr>
              <w:pStyle w:val="Compact"/>
            </w:pPr>
            <w:r>
              <w:t xml:space="preserve">Table 1; Methods: Risk of bias; Supplementary Tables S2 and S21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Specify risk-of-bias assessment methods</w:t>
            </w:r>
          </w:p>
        </w:tc>
        <w:tc>
          <w:tcPr/>
          <w:p>
            <w:pPr>
              <w:pStyle w:val="Compact"/>
            </w:pPr>
            <w:r>
              <w:t xml:space="preserve">Methods: Risk of bias, controls and ethics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Specify effect measures</w:t>
            </w:r>
          </w:p>
        </w:tc>
        <w:tc>
          <w:tcPr/>
          <w:p>
            <w:pPr>
              <w:pStyle w:val="Compact"/>
            </w:pPr>
            <w:r>
              <w:t xml:space="preserve">Methods: Pathway family and expression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13a</w:t>
            </w:r>
          </w:p>
        </w:tc>
        <w:tc>
          <w:tcPr/>
          <w:p>
            <w:pPr>
              <w:pStyle w:val="Compact"/>
            </w:pPr>
            <w:r>
              <w:t xml:space="preserve">Describe processes for deciding study eligibility for each synthesis</w:t>
            </w:r>
          </w:p>
        </w:tc>
        <w:tc>
          <w:tcPr/>
          <w:p>
            <w:pPr>
              <w:pStyle w:val="Compact"/>
            </w:pPr>
            <w:r>
              <w:t xml:space="preserve">Methods: Search/eligibility and Gene synthesis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13b</w:t>
            </w:r>
          </w:p>
        </w:tc>
        <w:tc>
          <w:tcPr/>
          <w:p>
            <w:pPr>
              <w:pStyle w:val="Compact"/>
            </w:pPr>
            <w:r>
              <w:t xml:space="preserve">Describe data preparation methods</w:t>
            </w:r>
          </w:p>
        </w:tc>
        <w:tc>
          <w:tcPr/>
          <w:p>
            <w:pPr>
              <w:pStyle w:val="Compact"/>
            </w:pPr>
            <w:r>
              <w:t xml:space="preserve">Methods: Pathway family and expression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13c</w:t>
            </w:r>
          </w:p>
        </w:tc>
        <w:tc>
          <w:tcPr/>
          <w:p>
            <w:pPr>
              <w:pStyle w:val="Compact"/>
            </w:pPr>
            <w:r>
              <w:t xml:space="preserve">Describe tabulation and visual-display methods</w:t>
            </w:r>
          </w:p>
        </w:tc>
        <w:tc>
          <w:tcPr/>
          <w:p>
            <w:pPr>
              <w:pStyle w:val="Compact"/>
            </w:pPr>
            <w:r>
              <w:t xml:space="preserve">Methods: Software; Figures 2–4; Supplementary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13d</w:t>
            </w:r>
          </w:p>
        </w:tc>
        <w:tc>
          <w:tcPr/>
          <w:p>
            <w:pPr>
              <w:pStyle w:val="Compact"/>
            </w:pPr>
            <w:r>
              <w:t xml:space="preserve">Describe synthesis methods and rationale</w:t>
            </w:r>
          </w:p>
        </w:tc>
        <w:tc>
          <w:tcPr/>
          <w:p>
            <w:pPr>
              <w:pStyle w:val="Compact"/>
            </w:pPr>
            <w:r>
              <w:t xml:space="preserve">Methods: Gene synthesis; Common-measurement pathway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13e</w:t>
            </w:r>
          </w:p>
        </w:tc>
        <w:tc>
          <w:tcPr/>
          <w:p>
            <w:pPr>
              <w:pStyle w:val="Compact"/>
            </w:pPr>
            <w:r>
              <w:t xml:space="preserve">Describe methods to explore heterogeneity</w:t>
            </w:r>
          </w:p>
        </w:tc>
        <w:tc>
          <w:tcPr/>
          <w:p>
            <w:pPr>
              <w:pStyle w:val="Compact"/>
            </w:pPr>
            <w:r>
              <w:t xml:space="preserve">Methods: Gene synthesis; Results: source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13f</w:t>
            </w:r>
          </w:p>
        </w:tc>
        <w:tc>
          <w:tcPr/>
          <w:p>
            <w:pPr>
              <w:pStyle w:val="Compact"/>
            </w:pPr>
            <w:r>
              <w:t xml:space="preserve">Describe sensitivity analyses</w:t>
            </w:r>
          </w:p>
        </w:tc>
        <w:tc>
          <w:tcPr/>
          <w:p>
            <w:pPr>
              <w:pStyle w:val="Compact"/>
            </w:pPr>
            <w:r>
              <w:t xml:space="preserve">Results: Robustness; Supplementary Tables S6 and S10–S17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Describe assessment of reporting bias</w:t>
            </w:r>
          </w:p>
        </w:tc>
        <w:tc>
          <w:tcPr/>
          <w:p>
            <w:pPr>
              <w:pStyle w:val="Compact"/>
            </w:pPr>
            <w:r>
              <w:t xml:space="preserve">Results: Robustness, bias and certainty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Describe certainty assessment</w:t>
            </w:r>
          </w:p>
        </w:tc>
        <w:tc>
          <w:tcPr/>
          <w:p>
            <w:pPr>
              <w:pStyle w:val="Compact"/>
            </w:pPr>
            <w:r>
              <w:t xml:space="preserve">Results and Discussion; formal grading not performed and reason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16a</w:t>
            </w:r>
          </w:p>
        </w:tc>
        <w:tc>
          <w:tcPr/>
          <w:p>
            <w:pPr>
              <w:pStyle w:val="Compact"/>
            </w:pPr>
            <w:r>
              <w:t xml:space="preserve">Describe results of the search and selection process</w:t>
            </w:r>
          </w:p>
        </w:tc>
        <w:tc>
          <w:tcPr/>
          <w:p>
            <w:pPr>
              <w:pStyle w:val="Compact"/>
            </w:pPr>
            <w:r>
              <w:t xml:space="preserve">Results: Dataset identification; Figure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16b</w:t>
            </w:r>
          </w:p>
        </w:tc>
        <w:tc>
          <w:tcPr/>
          <w:p>
            <w:pPr>
              <w:pStyle w:val="Compact"/>
            </w:pPr>
            <w:r>
              <w:t xml:space="preserve">Cite studies that appeared eligible but were excluded and explain why</w:t>
            </w:r>
          </w:p>
        </w:tc>
        <w:tc>
          <w:tcPr/>
          <w:p>
            <w:pPr>
              <w:pStyle w:val="Compact"/>
            </w:pPr>
            <w:r>
              <w:t xml:space="preserve">Supplementary Table S1 lists every full-record exclusion and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Cite each included study and present its characteristics</w:t>
            </w:r>
          </w:p>
        </w:tc>
        <w:tc>
          <w:tcPr/>
          <w:p>
            <w:pPr>
              <w:pStyle w:val="Compact"/>
            </w:pPr>
            <w:r>
              <w:t xml:space="preserve">Table 1; Supplementary Tables S2, S21 and S25; References 12–28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Present risk-of-bias assessments</w:t>
            </w:r>
          </w:p>
        </w:tc>
        <w:tc>
          <w:tcPr/>
          <w:p>
            <w:pPr>
              <w:pStyle w:val="Compact"/>
            </w:pPr>
            <w:r>
              <w:t xml:space="preserve">Results: Robustness; Supplementary Table S21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Present individual-study summary statistics and effect estimates</w:t>
            </w:r>
          </w:p>
        </w:tc>
        <w:tc>
          <w:tcPr/>
          <w:p>
            <w:pPr>
              <w:pStyle w:val="Compact"/>
            </w:pPr>
            <w:r>
              <w:t xml:space="preserve">Figure 4; Supplementary Tables S5–S9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20a</w:t>
            </w:r>
          </w:p>
        </w:tc>
        <w:tc>
          <w:tcPr/>
          <w:p>
            <w:pPr>
              <w:pStyle w:val="Compact"/>
            </w:pPr>
            <w:r>
              <w:t xml:space="preserve">Summarize contributing studies' characteristics and risk of bias</w:t>
            </w:r>
          </w:p>
        </w:tc>
        <w:tc>
          <w:tcPr/>
          <w:p>
            <w:pPr>
              <w:pStyle w:val="Compact"/>
            </w:pPr>
            <w:r>
              <w:t xml:space="preserve">Results; Table 1; Supplementary Table S21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20b</w:t>
            </w:r>
          </w:p>
        </w:tc>
        <w:tc>
          <w:tcPr/>
          <w:p>
            <w:pPr>
              <w:pStyle w:val="Compact"/>
            </w:pPr>
            <w:r>
              <w:t xml:space="preserve">Present results of all statistical syntheses</w:t>
            </w:r>
          </w:p>
        </w:tc>
        <w:tc>
          <w:tcPr/>
          <w:p>
            <w:pPr>
              <w:pStyle w:val="Compact"/>
            </w:pPr>
            <w:r>
              <w:t xml:space="preserve">Results; Figures 3–4; Supplementary Tables S4 and S6–S10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20c</w:t>
            </w:r>
          </w:p>
        </w:tc>
        <w:tc>
          <w:tcPr/>
          <w:p>
            <w:pPr>
              <w:pStyle w:val="Compact"/>
            </w:pPr>
            <w:r>
              <w:t xml:space="preserve">Present investigations of heterogeneity</w:t>
            </w:r>
          </w:p>
        </w:tc>
        <w:tc>
          <w:tcPr/>
          <w:p>
            <w:pPr>
              <w:pStyle w:val="Compact"/>
            </w:pPr>
            <w:r>
              <w:t xml:space="preserve">Gene meta-analysis heterogeneity fields; leave-one-source-out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20d</w:t>
            </w:r>
          </w:p>
        </w:tc>
        <w:tc>
          <w:tcPr/>
          <w:p>
            <w:pPr>
              <w:pStyle w:val="Compact"/>
            </w:pPr>
            <w:r>
              <w:t xml:space="preserve">Present sensitivity-analysis results</w:t>
            </w:r>
          </w:p>
        </w:tc>
        <w:tc>
          <w:tcPr/>
          <w:p>
            <w:pPr>
              <w:pStyle w:val="Compact"/>
            </w:pPr>
            <w:r>
              <w:t xml:space="preserve">Results: Robustness; Supplementary Tables S6 and S10–S17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Present assessment of reporting biases</w:t>
            </w:r>
          </w:p>
        </w:tc>
        <w:tc>
          <w:tcPr/>
          <w:p>
            <w:pPr>
              <w:pStyle w:val="Compact"/>
            </w:pPr>
            <w:r>
              <w:t xml:space="preserve">Not estimable with three heterogeneous primary sources; stated in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Present certainty assessments</w:t>
            </w:r>
          </w:p>
        </w:tc>
        <w:tc>
          <w:tcPr/>
          <w:p>
            <w:pPr>
              <w:pStyle w:val="Compact"/>
            </w:pPr>
            <w:r>
              <w:t xml:space="preserve">No formal grade; conditional language and limitations in Results/Discussion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23a</w:t>
            </w:r>
          </w:p>
        </w:tc>
        <w:tc>
          <w:tcPr/>
          <w:p>
            <w:pPr>
              <w:pStyle w:val="Compact"/>
            </w:pPr>
            <w:r>
              <w:t xml:space="preserve">Provide a general interpretation in context</w:t>
            </w:r>
          </w:p>
        </w:tc>
        <w:tc>
          <w:tcPr/>
          <w:p>
            <w:pPr>
              <w:pStyle w:val="Compact"/>
            </w:pPr>
            <w:r>
              <w:t xml:space="preserve">Discussion, paragraphs 1–4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23b</w:t>
            </w:r>
          </w:p>
        </w:tc>
        <w:tc>
          <w:tcPr/>
          <w:p>
            <w:pPr>
              <w:pStyle w:val="Compact"/>
            </w:pPr>
            <w:r>
              <w:t xml:space="preserve">Discuss limitations of included evidence</w:t>
            </w:r>
          </w:p>
        </w:tc>
        <w:tc>
          <w:tcPr/>
          <w:p>
            <w:pPr>
              <w:pStyle w:val="Compact"/>
            </w:pPr>
            <w:r>
              <w:t xml:space="preserve">Discussion, limitations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23c</w:t>
            </w:r>
          </w:p>
        </w:tc>
        <w:tc>
          <w:tcPr/>
          <w:p>
            <w:pPr>
              <w:pStyle w:val="Compact"/>
            </w:pPr>
            <w:r>
              <w:t xml:space="preserve">Discuss limitations of review processes</w:t>
            </w:r>
          </w:p>
        </w:tc>
        <w:tc>
          <w:tcPr/>
          <w:p>
            <w:pPr>
              <w:pStyle w:val="Compact"/>
            </w:pPr>
            <w:r>
              <w:t xml:space="preserve">Discussion, limitations paragraph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23d</w:t>
            </w:r>
          </w:p>
        </w:tc>
        <w:tc>
          <w:tcPr/>
          <w:p>
            <w:pPr>
              <w:pStyle w:val="Compact"/>
            </w:pPr>
            <w:r>
              <w:t xml:space="preserve">Discuss implications for practice/policy/research</w:t>
            </w:r>
          </w:p>
        </w:tc>
        <w:tc>
          <w:tcPr/>
          <w:p>
            <w:pPr>
              <w:pStyle w:val="Compact"/>
            </w:pPr>
            <w:r>
              <w:t xml:space="preserve">Discussion and Conclusion; no clinical recommendation made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24a</w:t>
            </w:r>
          </w:p>
        </w:tc>
        <w:tc>
          <w:tcPr/>
          <w:p>
            <w:pPr>
              <w:pStyle w:val="Compact"/>
            </w:pPr>
            <w:r>
              <w:t xml:space="preserve">Provide registration information</w:t>
            </w:r>
          </w:p>
        </w:tc>
        <w:tc>
          <w:tcPr/>
          <w:p>
            <w:pPr>
              <w:pStyle w:val="Compact"/>
            </w:pPr>
            <w:r>
              <w:t xml:space="preserve">Not registered; Introduction and Supplementary Table S24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Indicate access to protocol</w:t>
            </w:r>
          </w:p>
        </w:tc>
        <w:tc>
          <w:tcPr/>
          <w:p>
            <w:pPr>
              <w:pStyle w:val="Compact"/>
            </w:pPr>
            <w:r>
              <w:t xml:space="preserve">No prospective protocol; versioned specification history in Supplementary Table S24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24c</w:t>
            </w:r>
          </w:p>
        </w:tc>
        <w:tc>
          <w:tcPr/>
          <w:p>
            <w:pPr>
              <w:pStyle w:val="Compact"/>
            </w:pPr>
            <w:r>
              <w:t xml:space="preserve">Describe and explain amendments</w:t>
            </w:r>
          </w:p>
        </w:tc>
        <w:tc>
          <w:tcPr/>
          <w:p>
            <w:pPr>
              <w:pStyle w:val="Compact"/>
            </w:pPr>
            <w:r>
              <w:t xml:space="preserve">Supplementary Table S24; M20 explicitly labelled post-review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Describe support and funder role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Declare competing interests</w:t>
            </w:r>
          </w:p>
        </w:tc>
        <w:tc>
          <w:tcPr/>
          <w:p>
            <w:pPr>
              <w:pStyle w:val="Compact"/>
            </w:pPr>
            <w:r>
              <w:t xml:space="preserve">Competing interests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Report availability of data, code and materials</w:t>
            </w:r>
          </w:p>
        </w:tc>
        <w:tc>
          <w:tcPr/>
          <w:p>
            <w:pPr>
              <w:pStyle w:val="Compact"/>
            </w:pPr>
            <w:r>
              <w:t xml:space="preserve">Data availability; Code availability; Source_Data_M20.zip; Source_Code_M20.zip</w:t>
            </w:r>
          </w:p>
        </w:tc>
      </w:tr>
    </w:tbl>
    <w:bookmarkEnd w:id="9"/>
    <w:sectPr>
      <w:footerReference w:type="default" r:id="rId9"/>
      <w:footnotePr>
        <w:numRestart w:val="eachSect"/>
      </w:footnotePr>
      <w:pgMar w:top="1224" w:bottom="1224" w:left="1296" w:right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2026-08-20T20:03:06Z</dcterms:created>
  <dcterms:modified xsi:type="dcterms:W3CDTF">2026-08-20T20:03:06Z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