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upplementary-information"/>
    <w:p>
      <w:pPr>
        <w:pStyle w:val="Heading1"/>
      </w:pPr>
      <w:r>
        <w:t xml:space="preserve">Supplementary Information</w:t>
      </w:r>
    </w:p>
    <w:bookmarkStart w:id="9" w:name="study-title"/>
    <w:p>
      <w:pPr>
        <w:pStyle w:val="Heading2"/>
      </w:pPr>
      <w:r>
        <w:t xml:space="preserve">Study title</w:t>
      </w:r>
    </w:p>
    <w:p>
      <w:pPr>
        <w:pStyle w:val="FirstParagraph"/>
      </w:pPr>
      <w:r>
        <w:t xml:space="preserve">Compartment-Stratified Systematic Reanalysis of Complement, Coagulation, and Matrix Transcriptional Programs in Diabetic Kidney Disease</w:t>
      </w:r>
    </w:p>
    <w:bookmarkEnd w:id="9"/>
    <w:bookmarkStart w:id="1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Lizhen Deng</w:t>
      </w:r>
      <w:r>
        <w:br/>
      </w:r>
      <w:r>
        <w:t xml:space="preserve">College of Life Science and Technology, Huazhong University of Science and Technology, Wuhan, Hubei, China</w:t>
      </w:r>
      <w:r>
        <w:br/>
      </w:r>
      <w:r>
        <w:t xml:space="preserve">ORCID 0009-0003-2428-8176; correspondence:</w:t>
      </w:r>
      <w:r>
        <w:t xml:space="preserve"> </w:t>
      </w:r>
      <w:hyperlink r:id="rId10">
        <w:r>
          <w:rPr>
            <w:rStyle w:val="Hyperlink"/>
          </w:rPr>
          <w:t xml:space="preserve">3070116993@qq.com</w:t>
        </w:r>
      </w:hyperlink>
    </w:p>
    <w:bookmarkEnd w:id="11"/>
    <w:bookmarkStart w:id="12" w:name="supplementary-audit-boundaries"/>
    <w:p>
      <w:pPr>
        <w:pStyle w:val="Heading2"/>
      </w:pPr>
      <w:r>
        <w:t xml:space="preserve">Supplementary audit boundaries</w:t>
      </w:r>
    </w:p>
    <w:p>
      <w:pPr>
        <w:pStyle w:val="FirstParagraph"/>
      </w:pPr>
      <w:r>
        <w:t xml:space="preserve">The primary evidence is restricted to three independent glomerular sources. The M20 primary pathway estimand uses the fixed gene intersection measurable across all three sources. Contextual compartments, cohort-specific mapped sets, small cohorts, correlation flags, covariate models and alternative probe aggregation are sensitivities. No cross-compartment pooled effect is reported. M19 rules were not prospectively preregistered, and the common-gene/studentized M20 reanalysis was added after review; the complete history is in Supplementary Table S24.</w:t>
      </w:r>
    </w:p>
    <w:p>
      <w:pPr>
        <w:pStyle w:val="BodyText"/>
      </w:pPr>
      <w:r>
        <w:t xml:space="preserve">The second-pass screening audit was performed by an AI-assisted deterministic rule check under author supervision. It covered all 53 full records, all archived source-overlap decisions and a seeded 10% sample of early exclusions. It is not described as independent human dual screening. Human confirmation remains required before submission.</w:t>
      </w:r>
    </w:p>
    <w:bookmarkEnd w:id="12"/>
    <w:bookmarkStart w:id="25" w:name="supplementary-figures"/>
    <w:p>
      <w:pPr>
        <w:pStyle w:val="Heading2"/>
      </w:pPr>
      <w:r>
        <w:t xml:space="preserve">Supplementary figures</w:t>
      </w:r>
    </w:p>
    <w:bookmarkStart w:id="16" w:name="X426cf1792451b3237f583fec5030588f6f58952"/>
    <w:p>
      <w:pPr>
        <w:pStyle w:val="Heading3"/>
      </w:pPr>
      <w:r>
        <w:t xml:space="preserve">Supplementary Figure S1. Fixed Reactome pathway sizes</w:t>
      </w:r>
    </w:p>
    <w:p>
      <w:pPr>
        <w:pStyle w:val="FirstParagraph"/>
      </w:pPr>
      <w:r>
        <w:drawing>
          <wp:inline>
            <wp:extent cx="5334000" cy="3266265"/>
            <wp:effectExtent b="0" l="0" r="0" t="0"/>
            <wp:docPr descr="Supplementary Figure S1" title="" id="14" name="Picture"/>
            <a:graphic>
              <a:graphicData uri="http://schemas.openxmlformats.org/drawingml/2006/picture">
                <pic:pic>
                  <pic:nvPicPr>
                    <pic:cNvPr descr="Supplementary_Figure_S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Gene counts after filtering the frozen Reactome GMT to GOA human symbols.</w:t>
      </w:r>
    </w:p>
    <w:bookmarkEnd w:id="16"/>
    <w:bookmarkStart w:id="20" w:name="Xae1256deef203aa36b345f1638893c12617906c"/>
    <w:p>
      <w:pPr>
        <w:pStyle w:val="Heading3"/>
      </w:pPr>
      <w:r>
        <w:t xml:space="preserve">Supplementary Figure S2. Measured-covariate sensitivity</w:t>
      </w:r>
    </w:p>
    <w:p>
      <w:pPr>
        <w:pStyle w:val="FirstParagraph"/>
      </w:pPr>
      <w:r>
        <w:drawing>
          <wp:inline>
            <wp:extent cx="5334000" cy="4266792"/>
            <wp:effectExtent b="0" l="0" r="0" t="0"/>
            <wp:docPr descr="Supplementary Figure S2" title="" id="18" name="Picture"/>
            <a:graphic>
              <a:graphicData uri="http://schemas.openxmlformats.org/drawingml/2006/picture">
                <pic:pic>
                  <pic:nvPicPr>
                    <pic:cNvPr descr="Supplementary_Figure_S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6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Unadjusted versus adjusted pathway mean standardized disease coefficients. Direction changes use both an outlined X marker and vermilion color; retained directions use filled circles and blue.</w:t>
      </w:r>
    </w:p>
    <w:bookmarkEnd w:id="20"/>
    <w:bookmarkStart w:id="24" w:name="Xd1a13111f7d16bc866c8d9494f702953a79e8d9"/>
    <w:p>
      <w:pPr>
        <w:pStyle w:val="Heading3"/>
      </w:pPr>
      <w:r>
        <w:t xml:space="preserve">Supplementary Figure S3. Probe-aggregation sensitivity</w:t>
      </w:r>
    </w:p>
    <w:p>
      <w:pPr>
        <w:pStyle w:val="FirstParagraph"/>
      </w:pPr>
      <w:r>
        <w:drawing>
          <wp:inline>
            <wp:extent cx="5334000" cy="4265164"/>
            <wp:effectExtent b="0" l="0" r="0" t="0"/>
            <wp:docPr descr="Supplementary Figure S3" title="" id="22" name="Picture"/>
            <a:graphic>
              <a:graphicData uri="http://schemas.openxmlformats.org/drawingml/2006/picture">
                <pic:pic>
                  <pic:nvPicPr>
                    <pic:cNvPr descr="Supplementary_Figure_S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5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Pathway mean Hedges' g using the highest-all-sample-mean probe versus the median across mapped probes.</w:t>
      </w:r>
    </w:p>
    <w:bookmarkEnd w:id="24"/>
    <w:bookmarkEnd w:id="25"/>
    <w:bookmarkStart w:id="26" w:name="supplementary-tables"/>
    <w:p>
      <w:pPr>
        <w:pStyle w:val="Heading2"/>
      </w:pPr>
      <w:r>
        <w:t xml:space="preserve">Supplementary tables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S1.</w:t>
      </w:r>
      <w:r>
        <w:t xml:space="preserve"> </w:t>
      </w:r>
      <w:r>
        <w:t xml:space="preserve">All 322 unique dataset records with source, screening stage, decision, and specific reason.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S2.</w:t>
      </w:r>
      <w:r>
        <w:t xml:space="preserve"> </w:t>
      </w:r>
      <w:r>
        <w:t xml:space="preserve">Included GEO Series, source-study identity, compartment, platform, group sizes, controls, preprocessing, covariates, and analysis tier.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S3.</w:t>
      </w:r>
      <w:r>
        <w:t xml:space="preserve"> </w:t>
      </w:r>
      <w:r>
        <w:t xml:space="preserve">Fixed Reactome pathway identifiers, memberships, source hashes, GOA filtering, and retrieval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S4.</w:t>
      </w:r>
      <w:r>
        <w:t xml:space="preserve"> </w:t>
      </w:r>
      <w:r>
        <w:t xml:space="preserve">Primary three-source glomerular REML meta-analysis for the 783-gene canonical union; nonestimable members retained in multiplicity bookkeeping.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S5.</w:t>
      </w:r>
      <w:r>
        <w:t xml:space="preserve"> </w:t>
      </w:r>
      <w:r>
        <w:t xml:space="preserve">Complete per-cohort Hedges' g, variance, Welch P value, and within-cohort canonical-family FDR.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S6.</w:t>
      </w:r>
      <w:r>
        <w:t xml:space="preserve"> </w:t>
      </w:r>
      <w:r>
        <w:t xml:space="preserve">Primary and mapped-set sensitivity results for seven pathways in three glomerular cohorts: common-gene effects, bootstrap intervals, restricted/exact permutation P values, studentized maxT FWER and raw-mean maxT sensitivity.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S7.</w:t>
      </w:r>
      <w:r>
        <w:t xml:space="preserve"> </w:t>
      </w:r>
      <w:r>
        <w:t xml:space="preserve">Operational two-of-three study-wise pathway criterion under the common-measurement studentized maxT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S8.</w:t>
      </w:r>
      <w:r>
        <w:t xml:space="preserve"> </w:t>
      </w:r>
      <w:r>
        <w:t xml:space="preserve">Platform measurement coverage and fixed common-gene intersections for each pathway.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S9.</w:t>
      </w:r>
      <w:r>
        <w:t xml:space="preserve"> </w:t>
      </w:r>
      <w:r>
        <w:t xml:space="preserve">Permutation allocation counts, Monte Carlo standard errors and binomial confidence intervals for tail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S10.</w:t>
      </w:r>
      <w:r>
        <w:t xml:space="preserve"> </w:t>
      </w:r>
      <w:r>
        <w:t xml:space="preserve">Gene-level random-effects synthesis with each primary source omitted in turn.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S11.</w:t>
      </w:r>
      <w:r>
        <w:t xml:space="preserve"> </w:t>
      </w:r>
      <w:r>
        <w:t xml:space="preserve">Leave-one-gene-out pathway mean-effect sensitivity.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S12.</w:t>
      </w:r>
      <w:r>
        <w:t xml:space="preserve"> </w:t>
      </w:r>
      <w:r>
        <w:t xml:space="preserve">Leave-one-sample-out pathway mean-effect sensitivity; cohorts with fewer than three per group marked non-evaluable.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S13.</w:t>
      </w:r>
      <w:r>
        <w:t xml:space="preserve"> </w:t>
      </w:r>
      <w:r>
        <w:t xml:space="preserve">Gene-level measured-covariate OLS sensitivity for datasets with usable sex and/or age metadata.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S14.</w:t>
      </w:r>
      <w:r>
        <w:t xml:space="preserve"> </w:t>
      </w:r>
      <w:r>
        <w:t xml:space="preserve">Pathway summaries of measured-covariate sensitivity.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S15.</w:t>
      </w:r>
      <w:r>
        <w:t xml:space="preserve"> </w:t>
      </w:r>
      <w:r>
        <w:t xml:space="preserve">Within-cohort sample-correlation screening; flags are not automatic exclusions.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S16.</w:t>
      </w:r>
      <w:r>
        <w:t xml:space="preserve"> </w:t>
      </w:r>
      <w:r>
        <w:t xml:space="preserve">Gene-level highest-mean versus median-probe sensitivity for GSE30528/GSE30529.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S17.</w:t>
      </w:r>
      <w:r>
        <w:t xml:space="preserve"> </w:t>
      </w:r>
      <w:r>
        <w:t xml:space="preserve">Pathway-level probe-aggregation sensitivity and canonical-union gene-effect correlations.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S18.</w:t>
      </w:r>
      <w:r>
        <w:t xml:space="preserve"> </w:t>
      </w:r>
      <w:r>
        <w:t xml:space="preserve">Glomerular gene meta-analysis including donor-averaged GSE1009 as a small-sample sensitivity.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S19.</w:t>
      </w:r>
      <w:r>
        <w:t xml:space="preserve"> </w:t>
      </w:r>
      <w:r>
        <w:t xml:space="preserve">Descriptive two-source tubulointerstitial gene synthesis.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S20.</w:t>
      </w:r>
      <w:r>
        <w:t xml:space="preserve"> </w:t>
      </w:r>
      <w:r>
        <w:t xml:space="preserve">Descriptive whole/cortical-kidney gene synthesis including small studies.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S21.</w:t>
      </w:r>
      <w:r>
        <w:t xml:space="preserve"> </w:t>
      </w:r>
      <w:r>
        <w:t xml:space="preserve">Source-level risk-of-bias, confounding, control-origin, overlap and ethics/consent provenance audit; unresolved fields are explicitly marked.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S22.</w:t>
      </w:r>
      <w:r>
        <w:t xml:space="preserve"> </w:t>
      </w:r>
      <w:r>
        <w:t xml:space="preserve">Transparent AI-assisted second-pass audit of all 53 full records, all overlap decisions and a seeded 10% sample of early exclusions; this is not represented as independent human dual screening.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S23.</w:t>
      </w:r>
      <w:r>
        <w:t xml:space="preserve"> </w:t>
      </w:r>
      <w:r>
        <w:t xml:space="preserve">Direct comparison with closely related DKD integrative and meta-analytic studies.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S24.</w:t>
      </w:r>
      <w:r>
        <w:t xml:space="preserve"> </w:t>
      </w:r>
      <w:r>
        <w:t xml:space="preserve">Version history for pathway, H7, probe, permutation and robustness rules, including non-preregistered/post-review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S25.</w:t>
      </w:r>
      <w:r>
        <w:t xml:space="preserve"> </w:t>
      </w:r>
      <w:r>
        <w:t xml:space="preserve">Formal repository URLs and associated source-publication citations for all 11 GEO Series.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S26.</w:t>
      </w:r>
      <w:r>
        <w:t xml:space="preserve"> </w:t>
      </w:r>
      <w:r>
        <w:t xml:space="preserve">Checksums for search evidence and the self-contained frozen M20 primary-analysis inputs.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S27.</w:t>
      </w:r>
      <w:r>
        <w:t xml:space="preserve"> </w:t>
      </w:r>
      <w:r>
        <w:t xml:space="preserve">Search-evidence and canonical-reference file hashes.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S28.</w:t>
      </w:r>
      <w:r>
        <w:t xml:space="preserve"> </w:t>
      </w:r>
      <w:r>
        <w:t xml:space="preserve">Exact repeated H7 donor labels between GSE99339 and GSE104948, plus GEO-declared historical CDF lineage linking GSE104948 with GSE47183 and GSE32591; inferential actions and evidence boundaries are explicit.</w:t>
      </w:r>
    </w:p>
    <w:bookmarkEnd w:id="26"/>
    <w:bookmarkEnd w:id="27"/>
    <w:sectPr>
      <w:footerReference w:type="default" r:id="rId9"/>
      <w:footnotePr>
        <w:numRestart w:val="eachSect"/>
      </w:footnotePr>
      <w:pgMar w:top="1224" w:bottom="1224" w:left="1296" w:right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17" Type="http://schemas.openxmlformats.org/officeDocument/2006/relationships/image" Target="media/rId17.png"/><Relationship Id="rId21" Type="http://schemas.openxmlformats.org/officeDocument/2006/relationships/image" Target="media/rId21.png"/><Relationship Id="rId10" Type="http://schemas.openxmlformats.org/officeDocument/2006/relationships/hyperlink" Target="mailto:3070116993@qq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mailto:3070116993@qq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2026-08-20T20:17:59Z</dcterms:created>
  <dcterms:modified xsi:type="dcterms:W3CDTF">2026-08-20T20:17:59Z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