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prisma-2020-checklist"/>
    <w:p>
      <w:pPr>
        <w:pStyle w:val="Heading1"/>
      </w:pPr>
      <w:r>
        <w:t xml:space="preserve">PRISMA 2020 Checklist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Location/reporting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Title identifies a systematic reanalysis</w:t>
            </w:r>
          </w:p>
        </w:tc>
        <w:tc>
          <w:tcPr/>
          <w:p>
            <w:pPr>
              <w:pStyle w:val="Compact"/>
            </w:pPr>
            <w:r>
              <w:t xml:space="preserve">Title 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Structured summary</w:t>
            </w:r>
          </w:p>
        </w:tc>
        <w:tc>
          <w:tcPr/>
          <w:p>
            <w:pPr>
              <w:pStyle w:val="Compact"/>
            </w:pPr>
            <w:r>
              <w:t xml:space="preserve">Abstract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Introduction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Objectives</w:t>
            </w:r>
          </w:p>
        </w:tc>
        <w:tc>
          <w:tcPr/>
          <w:p>
            <w:pPr>
              <w:pStyle w:val="Compact"/>
            </w:pPr>
            <w:r>
              <w:t xml:space="preserve">Introduction, final paragraph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Eligibility criteria</w:t>
            </w:r>
          </w:p>
        </w:tc>
        <w:tc>
          <w:tcPr/>
          <w:p>
            <w:pPr>
              <w:pStyle w:val="Compact"/>
            </w:pPr>
            <w:r>
              <w:t xml:space="preserve">Methods: Search strategy and eligibility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Information sources and last search date</w:t>
            </w:r>
          </w:p>
        </w:tc>
        <w:tc>
          <w:tcPr/>
          <w:p>
            <w:pPr>
              <w:pStyle w:val="Compact"/>
            </w:pPr>
            <w:r>
              <w:t xml:space="preserve">Methods; Supplementary Table S19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Full search strategies</w:t>
            </w:r>
          </w:p>
        </w:tc>
        <w:tc>
          <w:tcPr/>
          <w:p>
            <w:pPr>
              <w:pStyle w:val="Compact"/>
            </w:pPr>
            <w:r>
              <w:t xml:space="preserve">Source_Data_M19.zip search 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Selection process</w:t>
            </w:r>
          </w:p>
        </w:tc>
        <w:tc>
          <w:tcPr/>
          <w:p>
            <w:pPr>
              <w:pStyle w:val="Compact"/>
            </w:pPr>
            <w:r>
              <w:t xml:space="preserve">Methods; Figure 1; Supplementary Table 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Data collection process</w:t>
            </w:r>
          </w:p>
        </w:tc>
        <w:tc>
          <w:tcPr/>
          <w:p>
            <w:pPr>
              <w:pStyle w:val="Compact"/>
            </w:pPr>
            <w:r>
              <w:t xml:space="preserve">Methods: Expression processing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10a</w:t>
            </w:r>
          </w:p>
        </w:tc>
        <w:tc>
          <w:tcPr/>
          <w:p>
            <w:pPr>
              <w:pStyle w:val="Compact"/>
            </w:pPr>
            <w:r>
              <w:t xml:space="preserve">Outcomes and variables</w:t>
            </w:r>
          </w:p>
        </w:tc>
        <w:tc>
          <w:tcPr/>
          <w:p>
            <w:pPr>
              <w:pStyle w:val="Compact"/>
            </w:pPr>
            <w:r>
              <w:t xml:space="preserve">Methods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Risk of bias/confounding assessment</w:t>
            </w:r>
          </w:p>
        </w:tc>
        <w:tc>
          <w:tcPr/>
          <w:p>
            <w:pPr>
              <w:pStyle w:val="Compact"/>
            </w:pPr>
            <w:r>
              <w:t xml:space="preserve">Robustness/QC and Limitations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Effect measures</w:t>
            </w:r>
          </w:p>
        </w:tc>
        <w:tc>
          <w:tcPr/>
          <w:p>
            <w:pPr>
              <w:pStyle w:val="Compact"/>
            </w:pPr>
            <w:r>
              <w:t xml:space="preserve">Methods: Hedges' 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13a</w:t>
            </w:r>
          </w:p>
        </w:tc>
        <w:tc>
          <w:tcPr/>
          <w:p>
            <w:pPr>
              <w:pStyle w:val="Compact"/>
            </w:pPr>
            <w:r>
              <w:t xml:space="preserve">Synthesis eligibility</w:t>
            </w:r>
          </w:p>
        </w:tc>
        <w:tc>
          <w:tcPr/>
          <w:p>
            <w:pPr>
              <w:pStyle w:val="Compact"/>
            </w:pPr>
            <w:r>
              <w:t xml:space="preserve">Methods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13d</w:t>
            </w:r>
          </w:p>
        </w:tc>
        <w:tc>
          <w:tcPr/>
          <w:p>
            <w:pPr>
              <w:pStyle w:val="Compact"/>
            </w:pPr>
            <w:r>
              <w:t xml:space="preserve">Sensitivity analyses</w:t>
            </w:r>
          </w:p>
        </w:tc>
        <w:tc>
          <w:tcPr/>
          <w:p>
            <w:pPr>
              <w:pStyle w:val="Compact"/>
            </w:pPr>
            <w:r>
              <w:t xml:space="preserve">Results and Supplementary Tables S9-S15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Reporting bias</w:t>
            </w:r>
          </w:p>
        </w:tc>
        <w:tc>
          <w:tcPr/>
          <w:p>
            <w:pPr>
              <w:pStyle w:val="Compact"/>
            </w:pPr>
            <w:r>
              <w:t xml:space="preserve">Not formally estimable with three primary studies; stated in Limitations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Certainty assessment</w:t>
            </w:r>
          </w:p>
        </w:tc>
        <w:tc>
          <w:tcPr/>
          <w:p>
            <w:pPr>
              <w:pStyle w:val="Compact"/>
            </w:pPr>
            <w:r>
              <w:t xml:space="preserve">No formal GRADE; bounded inferential language in Discussion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16a</w:t>
            </w:r>
          </w:p>
        </w:tc>
        <w:tc>
          <w:tcPr/>
          <w:p>
            <w:pPr>
              <w:pStyle w:val="Compact"/>
            </w:pPr>
            <w:r>
              <w:t xml:space="preserve">Study selection</w:t>
            </w:r>
          </w:p>
        </w:tc>
        <w:tc>
          <w:tcPr/>
          <w:p>
            <w:pPr>
              <w:pStyle w:val="Compact"/>
            </w:pPr>
            <w:r>
              <w:t xml:space="preserve">Figure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Study characteristics</w:t>
            </w:r>
          </w:p>
        </w:tc>
        <w:tc>
          <w:tcPr/>
          <w:p>
            <w:pPr>
              <w:pStyle w:val="Compact"/>
            </w:pPr>
            <w:r>
              <w:t xml:space="preserve">Table 1; Supplementary Table S2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Individual study results</w:t>
            </w:r>
          </w:p>
        </w:tc>
        <w:tc>
          <w:tcPr/>
          <w:p>
            <w:pPr>
              <w:pStyle w:val="Compact"/>
            </w:pPr>
            <w:r>
              <w:t xml:space="preserve">Figure 4; Supplementary Tables S5-S6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Synthesis results</w:t>
            </w:r>
          </w:p>
        </w:tc>
        <w:tc>
          <w:tcPr/>
          <w:p>
            <w:pPr>
              <w:pStyle w:val="Compact"/>
            </w:pPr>
            <w:r>
              <w:t xml:space="preserve">Results; Figures 3-4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Certainty</w:t>
            </w:r>
          </w:p>
        </w:tc>
        <w:tc>
          <w:tcPr/>
          <w:p>
            <w:pPr>
              <w:pStyle w:val="Compact"/>
            </w:pPr>
            <w:r>
              <w:t xml:space="preserve">Discussion and Limitations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Discussion</w:t>
            </w:r>
          </w:p>
        </w:tc>
        <w:tc>
          <w:tcPr/>
          <w:p>
            <w:pPr>
              <w:pStyle w:val="Compact"/>
            </w:pPr>
            <w:r>
              <w:t xml:space="preserve">Discussion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Registration/protocol</w:t>
            </w:r>
          </w:p>
        </w:tc>
        <w:tc>
          <w:tcPr/>
          <w:p>
            <w:pPr>
              <w:pStyle w:val="Compact"/>
            </w:pPr>
            <w:r>
              <w:t xml:space="preserve">Not registered; stated explicitly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Funding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Competing interests</w:t>
            </w:r>
          </w:p>
        </w:tc>
        <w:tc>
          <w:tcPr/>
          <w:p>
            <w:pPr>
              <w:pStyle w:val="Compact"/>
            </w:pPr>
            <w:r>
              <w:t xml:space="preserve">Competing interests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Data and Code availability</w:t>
            </w:r>
          </w:p>
        </w:tc>
      </w:tr>
    </w:tbl>
    <w:bookmarkEnd w:id="9"/>
    <w:sectPr>
      <w:footerReference w:type="default" r:id="rId9"/>
      <w:footnotePr>
        <w:numRestart w:val="eachSect"/>
      </w:footnotePr>
      <w:pgMar w:top="1224" w:bottom="1224" w:left="1296" w:right="129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Times New Roman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2026-08-20T18:57:33Z</dcterms:created>
  <dcterms:modified xsi:type="dcterms:W3CDTF">2026-08-20T18:57:33Z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