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pplementary-information"/>
    <w:p>
      <w:pPr>
        <w:pStyle w:val="Heading1"/>
      </w:pPr>
      <w:r>
        <w:t xml:space="preserve">Supplementary Information</w:t>
      </w:r>
    </w:p>
    <w:bookmarkStart w:id="9" w:name="study-title"/>
    <w:p>
      <w:pPr>
        <w:pStyle w:val="Heading2"/>
      </w:pPr>
      <w:r>
        <w:t xml:space="preserve">Study title</w:t>
      </w:r>
    </w:p>
    <w:p>
      <w:pPr>
        <w:pStyle w:val="FirstParagraph"/>
      </w:pPr>
      <w:r>
        <w:t xml:space="preserve">Compartment-Stratified Systematic Reanalysis of Complement, Coagulation, and Matrix Transcriptional Programs in Diabetic Kidney Disease</w:t>
      </w:r>
    </w:p>
    <w:bookmarkEnd w:id="9"/>
    <w:bookmarkStart w:id="10" w:name="X3ae77776b9a8e73876a6dec3f3597150351a83f"/>
    <w:p>
      <w:pPr>
        <w:pStyle w:val="Heading2"/>
      </w:pPr>
      <w:r>
        <w:t xml:space="preserve">Supplementary methods and audit boundaries</w:t>
      </w:r>
    </w:p>
    <w:p>
      <w:pPr>
        <w:pStyle w:val="FirstParagraph"/>
      </w:pPr>
      <w:r>
        <w:t xml:space="preserve">This supplement accompanies the complete machine-readable source tables. The primary evidence is restricted to three independent glomerular source studies. Contextual compartments, small cohorts, correlation flags, covariate models, and alternative probe aggregation are sensitivities. No cross-compartment pooled effect is reported. Exact search queries and translations are included in the source-data archive.</w:t>
      </w:r>
    </w:p>
    <w:bookmarkEnd w:id="10"/>
    <w:bookmarkStart w:id="23" w:name="supplementary-figures"/>
    <w:p>
      <w:pPr>
        <w:pStyle w:val="Heading2"/>
      </w:pPr>
      <w:r>
        <w:t xml:space="preserve">Supplementary figures</w:t>
      </w:r>
    </w:p>
    <w:bookmarkStart w:id="14" w:name="X426cf1792451b3237f583fec5030588f6f58952"/>
    <w:p>
      <w:pPr>
        <w:pStyle w:val="Heading3"/>
      </w:pPr>
      <w:r>
        <w:t xml:space="preserve">Supplementary Figure S1. Fixed Reactome pathway sizes</w:t>
      </w:r>
    </w:p>
    <w:p>
      <w:pPr>
        <w:pStyle w:val="FirstParagraph"/>
      </w:pPr>
      <w:r>
        <w:drawing>
          <wp:inline>
            <wp:extent cx="5334000" cy="3266265"/>
            <wp:effectExtent b="0" l="0" r="0" t="0"/>
            <wp:docPr descr="Supplementary Figure S1" title="" id="12" name="Picture"/>
            <a:graphic>
              <a:graphicData uri="http://schemas.openxmlformats.org/drawingml/2006/picture">
                <pic:pic>
                  <pic:nvPicPr>
                    <pic:cNvPr descr="Supplementary_Figure_S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Gene counts after filtering the current Reactome GMT to current GOA human symbols.</w:t>
      </w:r>
    </w:p>
    <w:bookmarkEnd w:id="14"/>
    <w:bookmarkStart w:id="18" w:name="Xae1256deef203aa36b345f1638893c12617906c"/>
    <w:p>
      <w:pPr>
        <w:pStyle w:val="Heading3"/>
      </w:pPr>
      <w:r>
        <w:t xml:space="preserve">Supplementary Figure S2. Measured-covariate sensitivity</w:t>
      </w:r>
    </w:p>
    <w:p>
      <w:pPr>
        <w:pStyle w:val="FirstParagraph"/>
      </w:pPr>
      <w:r>
        <w:drawing>
          <wp:inline>
            <wp:extent cx="5334000" cy="4266792"/>
            <wp:effectExtent b="0" l="0" r="0" t="0"/>
            <wp:docPr descr="Supplementary Figure S2" title="" id="16" name="Picture"/>
            <a:graphic>
              <a:graphicData uri="http://schemas.openxmlformats.org/drawingml/2006/picture">
                <pic:pic>
                  <pic:nvPicPr>
                    <pic:cNvPr descr="Supplementary_Figure_S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6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Unadjusted versus adjusted pathway mean standardized disease coefficients. Red denotes a direction change.</w:t>
      </w:r>
    </w:p>
    <w:bookmarkEnd w:id="18"/>
    <w:bookmarkStart w:id="22" w:name="Xd1a13111f7d16bc866c8d9494f702953a79e8d9"/>
    <w:p>
      <w:pPr>
        <w:pStyle w:val="Heading3"/>
      </w:pPr>
      <w:r>
        <w:t xml:space="preserve">Supplementary Figure S3. Probe-aggregation sensitivity</w:t>
      </w:r>
    </w:p>
    <w:p>
      <w:pPr>
        <w:pStyle w:val="FirstParagraph"/>
      </w:pPr>
      <w:r>
        <w:drawing>
          <wp:inline>
            <wp:extent cx="5334000" cy="4265164"/>
            <wp:effectExtent b="0" l="0" r="0" t="0"/>
            <wp:docPr descr="Supplementary Figure S3" title="" id="20" name="Picture"/>
            <a:graphic>
              <a:graphicData uri="http://schemas.openxmlformats.org/drawingml/2006/picture">
                <pic:pic>
                  <pic:nvPicPr>
                    <pic:cNvPr descr="Supplementary_Figure_S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Pathway mean Hedges' g using the highest-all-sample-mean probe versus the median across mapped probes.</w:t>
      </w:r>
    </w:p>
    <w:bookmarkEnd w:id="22"/>
    <w:bookmarkEnd w:id="23"/>
    <w:bookmarkStart w:id="24" w:name="supplementary-tables"/>
    <w:p>
      <w:pPr>
        <w:pStyle w:val="Heading2"/>
      </w:pPr>
      <w:r>
        <w:t xml:space="preserve">Supplementary tables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S1.</w:t>
      </w:r>
      <w:r>
        <w:t xml:space="preserve"> </w:t>
      </w:r>
      <w:r>
        <w:t xml:space="preserve">All 322 unique dataset records with source, screening stage, decision, and specific reason.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S2.</w:t>
      </w:r>
      <w:r>
        <w:t xml:space="preserve"> </w:t>
      </w:r>
      <w:r>
        <w:t xml:space="preserve">Included GEO Series, source-study identity, compartment, platform, group sizes, controls, preprocessing, covariates, and analysis tier.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S3.</w:t>
      </w:r>
      <w:r>
        <w:t xml:space="preserve"> </w:t>
      </w:r>
      <w:r>
        <w:t xml:space="preserve">Fixed Reactome pathway identifiers, memberships, source hashes, GOA filtering, and retrieval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S4.</w:t>
      </w:r>
      <w:r>
        <w:t xml:space="preserve"> </w:t>
      </w:r>
      <w:r>
        <w:t xml:space="preserve">Primary three-source glomerular REML meta-analysis for the 783-gene canonical union; nonestimable members retained in multiplicity bookkeeping.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S5.</w:t>
      </w:r>
      <w:r>
        <w:t xml:space="preserve"> </w:t>
      </w:r>
      <w:r>
        <w:t xml:space="preserve">Complete per-cohort Hedges' g, variance, Welch P value, and within-cohort canonical-family FDR.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S6.</w:t>
      </w:r>
      <w:r>
        <w:t xml:space="preserve"> </w:t>
      </w:r>
      <w:r>
        <w:t xml:space="preserve">Two-sided joint-label permutation results and seven-pathway maxT FWER for every cohort.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S7.</w:t>
      </w:r>
      <w:r>
        <w:t xml:space="preserve"> </w:t>
      </w:r>
      <w:r>
        <w:t xml:space="preserve">Primary glomerular pathway replication calls under the fixed two-of-three concordant maxT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S8.</w:t>
      </w:r>
      <w:r>
        <w:t xml:space="preserve"> </w:t>
      </w:r>
      <w:r>
        <w:t xml:space="preserve">All-tier compartment-specific pathway evidence summary; not used for primary replication calls.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S9.</w:t>
      </w:r>
      <w:r>
        <w:t xml:space="preserve"> </w:t>
      </w:r>
      <w:r>
        <w:t xml:space="preserve">Leave-one-gene-out pathway mean-effect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S10.</w:t>
      </w:r>
      <w:r>
        <w:t xml:space="preserve"> </w:t>
      </w:r>
      <w:r>
        <w:t xml:space="preserve">Leave-one-sample-out pathway mean-effect sensitivity; cohorts with fewer than three per group marked non-evaluable.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S11.</w:t>
      </w:r>
      <w:r>
        <w:t xml:space="preserve"> </w:t>
      </w:r>
      <w:r>
        <w:t xml:space="preserve">Gene-level measured-covariate OLS sensitivity for datasets with usable sex and/or age 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S12.</w:t>
      </w:r>
      <w:r>
        <w:t xml:space="preserve"> </w:t>
      </w:r>
      <w:r>
        <w:t xml:space="preserve">Pathway summaries of measured-covariate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S13.</w:t>
      </w:r>
      <w:r>
        <w:t xml:space="preserve"> </w:t>
      </w:r>
      <w:r>
        <w:t xml:space="preserve">Within-cohort sample-correlation screening; flags are not automatic exclusions.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S14.</w:t>
      </w:r>
      <w:r>
        <w:t xml:space="preserve"> </w:t>
      </w:r>
      <w:r>
        <w:t xml:space="preserve">Gene-level highest-mean versus median-probe sensitivity for GSE30528/GSE30529.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S15.</w:t>
      </w:r>
      <w:r>
        <w:t xml:space="preserve"> </w:t>
      </w:r>
      <w:r>
        <w:t xml:space="preserve">Pathway-level probe-aggregation sensitivity and canonical-union gene-effect correlations.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S16.</w:t>
      </w:r>
      <w:r>
        <w:t xml:space="preserve"> </w:t>
      </w:r>
      <w:r>
        <w:t xml:space="preserve">Glomerular gene meta-analysis including donor-averaged GSE1009 as a small-sample sensitivity.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S17.</w:t>
      </w:r>
      <w:r>
        <w:t xml:space="preserve"> </w:t>
      </w:r>
      <w:r>
        <w:t xml:space="preserve">Descriptive two-source tubulointerstitial gene synthesis.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S18.</w:t>
      </w:r>
      <w:r>
        <w:t xml:space="preserve"> </w:t>
      </w:r>
      <w:r>
        <w:t xml:space="preserve">Descriptive whole/cortical-kidney gene synthesis including small studies.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Supplementary Table S19.</w:t>
      </w:r>
      <w:r>
        <w:t xml:space="preserve"> </w:t>
      </w:r>
      <w:r>
        <w:t xml:space="preserve">Search-evidence and canonical-reference file hashes.</w:t>
      </w:r>
    </w:p>
    <w:bookmarkEnd w:id="24"/>
    <w:bookmarkEnd w:id="25"/>
    <w:sectPr>
      <w:footerReference w:type="default" r:id="rId9"/>
      <w:footnotePr>
        <w:numRestart w:val="eachSect"/>
      </w:footnotePr>
      <w:pgMar w:top="1224" w:bottom="1224" w:left="1296" w:right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5" Type="http://schemas.openxmlformats.org/officeDocument/2006/relationships/image" Target="media/rId15.png"/><Relationship Id="rId19" Type="http://schemas.openxmlformats.org/officeDocument/2006/relationships/image" Target="media/rId1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2026-08-20T18:57:17Z</dcterms:created>
  <dcterms:modified xsi:type="dcterms:W3CDTF">2026-08-20T18:57:17Z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