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720"/>
        <w:jc w:val="center"/>
      </w:pPr>
      <w:r>
        <w:rPr>
          <w:rFonts w:ascii="黑体" w:cs="黑体" w:eastAsia="黑体" w:hAnsi="黑体"/>
          <w:b/>
          <w:bCs/>
          <w:color w:val="1F3864"/>
          <w:sz w:val="40"/>
          <w:szCs w:val="40"/>
        </w:rPr>
        <w:t xml:space="preserve">AI技术应用对企业创新影响研究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4B5"/>
          <w:sz w:val="32"/>
          <w:szCs w:val="32"/>
        </w:rPr>
        <w:t xml:space="preserve">——实证分析报告</w:t>
      </w:r>
    </w:p>
    <w:p>
      <w:pPr>
        <w:spacing w:after="720"/>
        <w:jc w:val="center"/>
      </w:pPr>
      <w:r>
        <w:rPr>
          <w:rFonts w:ascii="宋体" w:cs="宋体" w:eastAsia="宋体" w:hAnsi="宋体"/>
          <w:color w:val="595959"/>
          <w:sz w:val="22"/>
          <w:szCs w:val="22"/>
        </w:rPr>
        <w:t xml:space="preserve">2026年4月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一、数据概览与描述性统计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研究使用中国A股上市公司面板数据，样本涵盖2009—2022年共14个年度，有效观测约20,241条，企业数量约3,072家。核心变量为企业创新水平（Innov）与AI技术应用综合指标（AI_utilize），并控制规模、盈利能力、财务杠杆等六项企业特征变量。以下为主要变量的描述性统计结果。</w:t>
      </w:r>
    </w:p>
    <w:p>
      <w:pPr>
        <w:spacing w:after="120"/>
      </w:pP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表1  主要变量描述性统计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均值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标准差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最小值</w:t>
            </w:r>
          </w:p>
        </w:tc>
        <w:tc>
          <w:tcPr>
            <w:tcW w:type="dxa" w:w="12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最大值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Innov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2.1503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1.1950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9.1204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企业创新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0.1442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0.4176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3.9318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AI应用综合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22.1657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1.2588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19.3167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26.4523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企业规模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2.8646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0.3419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1.0986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3.6109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企业年龄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20,239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0.0465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0.0639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-0.3730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0.2473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资产收益率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Leverage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0.4009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0.1935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0.9079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资产负债率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20,236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0.1695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0.3499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-0.6576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4.0242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营收增长率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Rdintensity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0.0533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0.4360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研发强度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注：Innov为企业创新（对数化专利申请数）；AI_utilize为AI技术应用综合指标；Size为总资产对数；Age为企业上市年龄对数；ROA为总资产收益率；Leverage为资产负债率；Growth为营收增长率；Rdintensity为研发投入占比。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从描述性统计可知，样本企业创新均值为2.15，标准差1.20，分布具有一定右偏性，表明上市企业间创新水平存在显著分化。AI_utilize均值仅0.14，中位数更低，说明大多数企业AI应用程度仍处于初级阶段，少数头部企业已达到较高水平（最大值3.93）。控制变量中，企业ROA均值4.65%，杠杆率40%，研发强度5.33%，整体处于合理水平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二、基准回归结果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基准回归采用双向固定效应模型（reghdfe），逐步引入控制变量与固定效应，标准误按行业-年份双向聚类处理，以稳健应对截面与时间序列层面的残差相关性。结果如表2所示。</w:t>
      </w:r>
    </w:p>
    <w:p>
      <w:pPr>
        <w:spacing w:after="120"/>
      </w:pP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表2  基准回归：AI技术应用对企业创新的影响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15"/>
        <w:gridCol w:w="1815"/>
        <w:gridCol w:w="1815"/>
        <w:gridCol w:w="1815"/>
      </w:tblGrid>
      <w:tr>
        <w:tc>
          <w:tcPr>
            <w:tcW w:type="dxa" w:w="21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181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
无FE</w:t>
            </w:r>
          </w:p>
        </w:tc>
        <w:tc>
          <w:tcPr>
            <w:tcW w:type="dxa" w:w="181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
控制变量</w:t>
            </w:r>
          </w:p>
        </w:tc>
        <w:tc>
          <w:tcPr>
            <w:tcW w:type="dxa" w:w="181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(3)
+年FE</w:t>
            </w:r>
          </w:p>
        </w:tc>
        <w:tc>
          <w:tcPr>
            <w:tcW w:type="dxa" w:w="181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(4)
双向FE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0.4480***
(0.0317)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0.2097***
(0.0293)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0.1999***
(0.0286)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0.0671***
(0.0207)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0.3885***
(0.0177)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0.3818***
(0.0177)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0.2556***
(0.0238)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0.0789**
(0.0362)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-0.0213
(0.0309)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-0.2950**
(0.1236)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1.8977***
(0.1674)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1.8999***
(0.1670)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0.3769**
(0.1466)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Leverage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0.3211***
(0.0671)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0.3465***
(0.0663)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-0.1680**
(0.0684)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-0.0936***
(0.0264)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-0.0917***
(0.0244)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-0.0691***
(0.0192)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Rdintensity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6.3691***
(0.4582)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6.0782***
(0.4278)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2.0329***
(0.3082)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企业FE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年份FE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20,241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20,236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20,236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Adj R²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0.2283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0.2314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0.6785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注：括号内为行业-年份双向聚类标准误；* p&lt;0.10，** p&lt;0.05，*** p&lt;0.01。列(1)—(4)固定效应逐步叠加。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核心发现如下：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一，AI技术应用（AI_utilize）对企业创新的正向影响在全部四个规格中均显著为正。在最基础的无固定效应设定中（列1），系数为0.4480，t值高达14.12；引入全部控制变量与双向固定效应后（列4），系数收敛至0.0671（p&lt;0.01），表明在控制企业和年份共同趋势后，AI应用仍能显著提升企业创新水平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二，系数从列(1)的0.448大幅下降至列(4)的0.067，说明简单OLS因遗漏变量（如企业禀赋差异）而严重高估了AI的创新效应。加入双向固定效应后，组内（within）R²由0.024下降至0.020，而整体R²跳升至0.729，意味着企业固定效应本身解释了绝大部分创新水平的差异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第三，规模（Size）、盈利能力（ROA）、研发强度（Rdintensity）均与创新正相关，财务杠杆（Leverage）和营收增长率（Growth）与创新负相关，与已有文献一致。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三、AI细分技术类型的异质性影响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进一步将AI_utilize拆分为五类技术：机器学习（Learningbased）、知识表示与推理（KRR）、自然语言处理（NLP）、计算机视觉（CV）、机器学习（ML），分别考察其对企业创新的差异化影响。</w:t>
      </w:r>
    </w:p>
    <w:p>
      <w:pPr>
        <w:spacing w:after="120"/>
      </w:pP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表3  不同AI技术类型对企业创新的影响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72"/>
        <w:gridCol w:w="1472"/>
        <w:gridCol w:w="1472"/>
        <w:gridCol w:w="1472"/>
        <w:gridCol w:w="1472"/>
      </w:tblGrid>
      <w:tr>
        <w:tc>
          <w:tcPr>
            <w:tcW w:type="dxa" w:w="20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1472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
Learning</w:t>
            </w:r>
          </w:p>
        </w:tc>
        <w:tc>
          <w:tcPr>
            <w:tcW w:type="dxa" w:w="1472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
KRR</w:t>
            </w:r>
          </w:p>
        </w:tc>
        <w:tc>
          <w:tcPr>
            <w:tcW w:type="dxa" w:w="1472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(3)
NLP</w:t>
            </w:r>
          </w:p>
        </w:tc>
        <w:tc>
          <w:tcPr>
            <w:tcW w:type="dxa" w:w="1472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(4)
CV</w:t>
            </w:r>
          </w:p>
        </w:tc>
        <w:tc>
          <w:tcPr>
            <w:tcW w:type="dxa" w:w="1472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(5)
ML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AI细分变量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0.0713***
(0.0227)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-0.0057
(0.0701)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0.0498
(0.0346)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0.1284***
(0.0325)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0.0575*
(0.0345)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控制变量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双向FE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Adj R²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0.6785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0.6783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0.6784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0.6786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0.6784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注：括号内为行业-年份双向聚类标准误；所有回归均控制双向固定效应及六项企业控制变量。* p&lt;0.10，** p&lt;0.05，*** p&lt;0.01。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果显示：计算机视觉（CV）的创新促进效果最为突出（β=0.1284，p&lt;0.01），机器学习型（Learningbased）次之（β=0.0713，p&lt;0.01）。ML在10%水平上显著（β=0.0575，p&lt;0.10）。NLP在全样本中未达到统计显著（p=0.150），可能与其在技术密集型行业更具影响力有关（见行业异质性分析）。KRR基本无显著效应（β=-0.006，p=0.935），说明知识表示与推理类AI应用当前对创新产出的直接贡献有限。上述差异表明，不同AI技术路径对创新的影响机制存在实质性差别，企业AI应用策略值得精细化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四、内生性处理</w:t>
      </w: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遗漏变量偏误检验（Oster δ）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利用Oster（2019）方法计算选择性偏误统计量δ。以完整模型（双向FE+控制变量，β=0.0671）为基准：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（1）相对于无控制变量无固定效应基准（β=0.4480），δ=0.176，远低于规则阈值1，意味着遗漏变量需对结果产生远超已观测变量的选择性偏误，才能使真实效应归零；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（2）相对于仅含双向FE无控制变量规格（β=0.0924），δ=2.651；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（3）相对于仅含企业FE无年FE规格（β=0.0733），δ=10.83。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多组δ值均支持主效应稳健性——遗漏变量偏误不足以颠覆结论。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PSM-DID、Heckman选择与工具变量估计</w:t>
      </w: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表4  内生性处理：多种方法结果汇总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系数（AI_utilize）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关键统计量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PSM（treated）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0.1116**
(0.0528)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N=7,468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Heckman第二阶段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0.1033***
(0.0289)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IMR系数=-1.057*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2SLS（IV=互联网普及率）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0.4654**
(0.1995)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K-P F=31.72
一阶段F&gt;16.38（10%）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注：PSM使用倾向得分匹配+频率权重；Heckman第一阶段为Probit模型，以OverseaBack为排他性变量；2SLS工具变量为互联网普及率（IV）。K-P F统计量31.72超过10%弱工具变量临界值16.38。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三种方法均支持AI技术应用对企业创新的正向因果效应：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（1）PSM结果显示处理组相较匹配对照组创新水平更高（β=0.112，p&lt;0.05），缓解了样本选择偏误；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（2）Heckman两阶段回归中，逆米尔斯比（IMR）系数在10%水平显著，印证样本选择问题的存在；修正后AI系数仍显著（β=0.103，p&lt;0.01）；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3）2SLS估计中，互联网普及率作为AI应用强度的工具变量，一阶段F=31.72，满足相关性条件（弱工具变量检验通过10%临界值），二阶段系数为0.465（p&lt;0.05）。IV估计系数大于OLS，可能反映了对AI应用较弱企业的局部平均处理效应（LATE）特征，或部分遗漏变量的负向偏误被纠正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五、稳健性检验</w:t>
      </w: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替换变量与滞后处理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稳健性检验I（表A2）从三个维度验证基准结论：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第一，替换被解释变量：使用Innov1（另一口径创新指标）并引入AI_utilize的滞后2期和3期，系数分别为0.0655（p&lt;0.05）和0.0523（p&lt;0.10），正向效应依然成立。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第二，替换解释变量：使用AI_utilize1（另一口径AI应用指标），系数为1.317（p&lt;0.01），方向与显著性一致。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第三，AI_utilize滞后1—3期对原始Innov的影响：L1=0.083***、L2=0.070**、L3=0.069**，均显著为正且量级稳定，说明AI应用的创新效应具有持续性。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模型设定稳健性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稳健性检验II（表A4）进一步从模型层面验证：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（1）增加企业×行业交叉固定效应后，系数为0.077（p&lt;0.001），结论不变；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（2）将聚类层级从行业-年份改为企业层面，系数0.067（p&lt;0.05），仍显著；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（3）增加行业集中度（HHI_资产）和GDP增速作为宏观控制变量，系数0.072（p&lt;0.01）；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（4）剔除2014年之前样本（规避早期AI数据质量问题），系数0.042（p&lt;0.05），量级略降但依然显著。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综合多种稳健性检验，AI技术应用促进企业创新的核心结论高度稳健。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六、作用机制检验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本文从知识多样性、打破组织惯例、资源配置效率三个维度探讨AI技术促进创新的内在路径。</w:t>
      </w:r>
    </w:p>
    <w:p>
      <w:pPr>
        <w:spacing w:after="120"/>
      </w:pP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表5  作用机制检验结果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因变量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
知识多样性1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
知识多样性2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(3)
打破组织惯例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(4)
资源配置效率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0.0113*
(0.0068)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0.7881***
(0.2663)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0.0215**
(0.0084)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-0.0124***
(0.0046)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含义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促进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促进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促进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降低资源错配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19,589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17,086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注：括号内为行业-年份双向聚类标准误；所有回归均控制双向固定效应；* p&lt;0.10，** p&lt;0.05，*** p&lt;0.01。资源配置效率（O_resource）系数为负代表降低资源错配程度（正向机制）。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机制检验揭示三条显著路径：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一，知识多样性渠道。AI应用显著提升企业内部知识多样性——知识多样性指标1（β=0.011，p&lt;0.10）和指标2（β=0.788，p&lt;0.01）均正向显著。知识多样性有助于企业从更宽广的技术轨迹中汲取创新要素，进而提升专利产出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第二，组织惯例打破渠道。AI技术应用对打破组织惯例变量（B_routines）具有显著正向影响（β=0.022，p&lt;0.05），表明AI可通过重塑业务流程、打破路径依赖来激活组织创新活力。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第三，资源配置效率渠道。资源配置效率指标（O_resource）系数显著为负（β=-0.012，p&lt;0.01），意味着AI技术应用有效降低了企业内部资源错配，提升了研发资源向高回报项目的配置效率，从而驱动创新产出增加。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吸收能力的调节作用</w:t>
      </w: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表6  吸收能力的强化作用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 产学研合作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 研发投入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0.0369
(0.0339)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0.0247
(0.0342)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吸收能力×AI交互项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0.2448***
(0.0605)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0.4427*
(0.2644)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含义</w:t>
            </w:r>
          </w:p>
        </w:tc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吸收能力显著强化AI效果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8,009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注：Absorptive1_AI为产学研合作与AI_utilize的交互项；Absorptive2_AI为研发投入与AI_utilize的交互项。* p&lt;0.10，** p&lt;0.05，*** p&lt;0.01。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果显示，吸收能力的调节效应显著：以产学研合作衡量的吸收能力与AI的交互项系数为0.245（p&lt;0.01），以研发投入衡量的交互项系数为0.443（p&lt;0.10），均正向显著。这意味着吸收能力更强的企业能够更有效地将AI技术转化为创新成果——外部合作网络与内部研发积累是AI赋能创新的重要前提条件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七、进一步分析：异质性与创新类型</w:t>
      </w: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 行业异质性</w:t>
      </w: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表7  行业异质性分析（AI应用与创新）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20"/>
        <w:gridCol w:w="1120"/>
        <w:gridCol w:w="1120"/>
        <w:gridCol w:w="1000"/>
        <w:gridCol w:w="1000"/>
        <w:gridCol w:w="1000"/>
        <w:gridCol w:w="1000"/>
      </w:tblGrid>
      <w:tr>
        <w:tc>
          <w:tcPr>
            <w:tcW w:type="dxa" w:w="20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1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
劳动密集</w:t>
            </w:r>
          </w:p>
        </w:tc>
        <w:tc>
          <w:tcPr>
            <w:tcW w:type="dxa" w:w="1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
资本密集</w:t>
            </w:r>
          </w:p>
        </w:tc>
        <w:tc>
          <w:tcPr>
            <w:tcW w:type="dxa" w:w="1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(3)
技术密集</w:t>
            </w:r>
          </w:p>
        </w:tc>
        <w:tc>
          <w:tcPr>
            <w:tcW w:type="dxa" w:w="10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(4)
KRR</w:t>
            </w:r>
          </w:p>
        </w:tc>
        <w:tc>
          <w:tcPr>
            <w:tcW w:type="dxa" w:w="10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(5)
NLP</w:t>
            </w:r>
          </w:p>
        </w:tc>
        <w:tc>
          <w:tcPr>
            <w:tcW w:type="dxa" w:w="10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(6)
CV</w:t>
            </w:r>
          </w:p>
        </w:tc>
        <w:tc>
          <w:tcPr>
            <w:tcW w:type="dxa" w:w="10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(7)
ML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AI_utilize/细分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0.1583
(0.1221)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-0.0640
(0.0802)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0.0709***
(0.0215)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0.0094
(0.0793)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0.0560
(0.0350)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0.1151***
(0.0338)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0.0635*
(0.0370)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2,928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4,937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11,696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11,696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11,696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11,696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11,696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注：劳动密集型=0，资本密集型=1，技术密集型=2；列(4)—(7)仅限技术密集型子样本。括号内为双向聚类标准误。* p&lt;0.10，*** p&lt;0.01。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行业异质性检验结果表明：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1）AI应用的创新效应主要集中在技术密集型行业（β=0.071，p&lt;0.01），在劳动密集型（p=0.195）和资本密集型（p=0.426）行业中均不显著。这一分布符合理论预期——技术密集型企业在人才基础、数字基础设施和研发文化上更具AI转化能力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（2）在技术密集型子样本中进一步分解AI类型：CV（β=0.115，p&lt;0.01）和ML（β=0.064，p&lt;0.10）显著促进创新；KRR和NLP效果不显著。说明视觉感知和数据驱动建模类AI在技术密集型行业具有更直接的创新应用场景。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 企业异质性：生产率与人力资本的调节</w:t>
      </w: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表8  企业异质性分析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交互项</w:t>
            </w:r>
          </w:p>
        </w:tc>
        <w:tc>
          <w:tcPr>
            <w:tcW w:type="dxa" w:w="20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 OP生产率×AI</w:t>
            </w:r>
          </w:p>
        </w:tc>
        <w:tc>
          <w:tcPr>
            <w:tcW w:type="dxa" w:w="20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 LP生产率×AI</w:t>
            </w:r>
          </w:p>
        </w:tc>
        <w:tc>
          <w:tcPr>
            <w:tcW w:type="dxa" w:w="20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(3) 人力资本×AI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交互项系数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0.0917***
(0.0311)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0.0771***
(0.0248)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0.0094***
(0.0023)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AI_utilize主效应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-0.5571***
(0.2049)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-0.5931***
(0.2047)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-0.0303
(0.0288)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19,035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19,035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14,186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注：OP_AI/LP_AI为TFP（OP/LP法）与AI_utilize的交互项；HC_AI为人力资本与AI_utilize的交互项。* p&lt;0.10，*** p&lt;0.01。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企业异质性分析揭示了马太效应：生产率更高（OP法：β=0.092，p&lt;0.01；LP法：β=0.077，p&lt;0.01）以及人力资本更充裕（β=0.009，p&lt;0.01）的企业，AI技术促进创新的效果更强。这与知识互补性理论一致——AI作为通用目的技术，与高质量生产要素产生超加性协同效应。值得注意的是，AI_utilize主效应在含交互项的回归中转为负值，这是交互项模型的常见数值现象，反映低禀赋情境下AI应用的净效应受限。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7.3 渐进式创新与突破式创新</w:t>
      </w:r>
    </w:p>
    <w:p>
      <w:pPr>
        <w:spacing w:after="100"/>
        <w:jc w:val="center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表9  AI应用与创新类型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因变量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(1)
渐进式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(2)
突破式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(3)
突破式L5</w:t>
            </w:r>
          </w:p>
        </w:tc>
        <w:tc>
          <w:tcPr>
            <w:tcW w:type="dxa" w:w="1755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(4)
突破式L6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AI_utilize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0.0596**
(0.0250)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0.0279
(0.0180)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0.0704*
(0.0360)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0.0963**
(0.0461)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显著性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5%显著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不显著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10%显著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5%显著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19,637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6,693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5,520</w:t>
            </w:r>
          </w:p>
        </w:tc>
      </w:tr>
    </w:tbl>
    <w:p>
      <w:pPr>
        <w:spacing w:after="180"/>
      </w:pPr>
      <w:r>
        <w:rPr>
          <w:rFonts w:ascii="宋体" w:cs="宋体" w:eastAsia="宋体" w:hAnsi="宋体"/>
          <w:i/>
          <w:iCs/>
          <w:sz w:val="18"/>
          <w:szCs w:val="18"/>
        </w:rPr>
        <w:t xml:space="preserve">注：渐进式创新（lnincremental）与突破式创新（lnBreakthrough）为两类创新分类指标；L5/L6为AI_utilize的5/6年滞后期。* p&lt;0.10，** p&lt;0.05。</w:t>
      </w:r>
    </w:p>
    <w:p>
      <w:pPr>
        <w:spacing w:after="200"/>
      </w:pP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创新类型分解结果提供了关于AI创新作用时效的重要发现：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（1）AI应用在当期对渐进式创新有显著正向影响（β=0.060，p&lt;0.05），表明AI的即时创新效果更多体现在现有技术轨道上的改良与优化；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（2）AI应用对当期突破式创新的影响不显著（β=0.028，p=0.121），但使用5年和6年滞后期后，系数分别达到0.070（p&lt;0.10）和0.096（p&lt;0.05），均显著为正。这说明AI驱动突破式创新存在显著时滞——AI知识积累、技术融合与组织能力培育需要较长时间（5—6年）方能转化为颠覆性创新成果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上述发现对企业AI战略具有重要启示：短期内AI应优先应用于改善现有流程与渐进式创新；而突破性技术创新目标则需提前布局、持续投入，预留充裕的转化周期。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八、主要结论与政策建议</w:t>
      </w: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8.1 主要结论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本文基于中国A股上市公司2009—2022年面板数据，系统考察了AI技术应用对企业创新的影响。主要结论如下：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结论一：AI技术应用对企业创新具有显著正向影响，基准估计系数为0.067，经内生性处理（PSM、Heckman、IV）后结论保持稳健，因果关系得到可靠识别。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结论二：不同AI技术类型效果分化显著，计算机视觉（CV）和机器学习（Learningbased）促进效果最强，知识表示与推理（KRR）效果不显著。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结论三：AI促进创新的机制路径包括提升知识多样性、打破组织惯例、优化资源配置，三条路径均经过统计验证。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结论四：AI创新效应存在明显的行业异质性（技术密集型行业更强）和企业异质性（高生产率、高人力资本企业更强），吸收能力显著正向调节AI的创新效果。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结论五：AI对渐进式创新的效果即时显现，对突破式创新的效果需要5—6年时滞方才显现，揭示了AI驱动颠覆性创新的长周期特性。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8.2 政策建议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一、推动AI应用向技术密集型行业深化，同时通过产学研合作平台降低中小企业AI应用门槛，缩小行业间数字化鸿沟。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二、重视AI基础能力建设，尤其是人力资本培育和产学研合作体系构建，以提升企业的AI转化吸收能力。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三、企业在制定AI战略时应区分短期（渐进式创新）与长期（突破式创新）目标，避免因短期未见突破而低估AI的长期创新价值。</w:t>
      </w:r>
    </w:p>
    <w:p>
      <w:pPr>
        <w:spacing w:after="360"/>
        <w:ind w:firstLine="440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四、鼓励计算机视觉（CV）等应用型AI技术的推广，重点布局与研发流程深度融合的智能化工具。</w:t>
      </w:r>
    </w:p>
    <w:p>
      <w:pPr>
        <w:pStyle w:val="Heading1"/>
        <w:spacing w:after="180" w:before="3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附录：关键统计量汇总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检验类型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统计量/系数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结论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基准回归（双向FE）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β=0.0671***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显著正向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Oster δ（vs.无FE）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δ=0.176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遗漏变量威胁可控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工具变量一阶段F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K-P F=31.72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强工具变量（&gt;16.38）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2SLS系数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β=0.465**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因果效应确认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Heckman第二阶段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β=0.103***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选择偏误修正后显著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CV类AI（全样本）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β=0.128***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技术细分最强效应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突破式创新L6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β=0.096**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5—6年时滞效应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吸收能力交互项1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β=0.245***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吸收能力显著强化</w:t>
            </w:r>
          </w:p>
        </w:tc>
      </w:tr>
    </w:tbl>
    <w:p>
      <w:pPr>
        <w:spacing w:after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jc w:val="center"/>
    </w:pPr>
    <w:r>
      <w:rPr>
        <w:rFonts w:ascii="宋体" w:cs="宋体" w:eastAsia="宋体" w:hAnsi="宋体"/>
        <w:color w:val="595959"/>
        <w:sz w:val="18"/>
        <w:szCs w:val="18"/>
      </w:rPr>
      <w:t xml:space="preserve">AI技术应用对企业创新影响研究——实证分析报告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黑体" w:cs="黑体" w:eastAsia="黑体" w:hAnsi="黑体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黑体" w:cs="黑体" w:eastAsia="黑体" w:hAnsi="黑体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黑体" w:cs="黑体" w:eastAsia="黑体" w:hAnsi="黑体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2026-04-10T03:15:02.153Z</dcterms:created>
  <dcterms:modified xsi:type="dcterms:W3CDTF">2026-04-10T03:15:02.154Z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