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DC8672" w14:textId="0411AFAB" w:rsidR="0027253B" w:rsidRDefault="0027253B" w:rsidP="009A7287">
      <w:pPr>
        <w:pStyle w:val="ListParagraph"/>
        <w:numPr>
          <w:ilvl w:val="1"/>
          <w:numId w:val="1"/>
        </w:numPr>
      </w:pPr>
      <w:r>
        <w:t>对称性及对称性破缺</w:t>
      </w:r>
      <w:r>
        <w:rPr>
          <w:rFonts w:hint="eastAsia"/>
        </w:rPr>
        <w:t>是</w:t>
      </w:r>
      <w:r w:rsidR="00070364">
        <w:t>生命进化</w:t>
      </w:r>
      <w:r>
        <w:t>的一个重要驱动力</w:t>
      </w:r>
    </w:p>
    <w:p w14:paraId="23E36655" w14:textId="232FB13E" w:rsidR="005F35C9" w:rsidRDefault="00B42872" w:rsidP="005F35C9">
      <w:pPr>
        <w:pStyle w:val="ListParagraph"/>
        <w:ind w:left="360"/>
      </w:pPr>
      <w:r>
        <w:t>生命的进化</w:t>
      </w:r>
      <w:r>
        <w:rPr>
          <w:rFonts w:hint="eastAsia"/>
        </w:rPr>
        <w:t>是</w:t>
      </w:r>
      <w:r>
        <w:t>一个从混沌到有序，</w:t>
      </w:r>
      <w:r>
        <w:rPr>
          <w:rFonts w:hint="eastAsia"/>
        </w:rPr>
        <w:t>从</w:t>
      </w:r>
      <w:r>
        <w:t>低序到高序的过程，</w:t>
      </w:r>
      <w:r>
        <w:rPr>
          <w:rFonts w:hint="eastAsia"/>
        </w:rPr>
        <w:t>也是</w:t>
      </w:r>
      <w:r>
        <w:t>一个从</w:t>
      </w:r>
      <w:r>
        <w:rPr>
          <w:rFonts w:hint="eastAsia"/>
        </w:rPr>
        <w:t>完全</w:t>
      </w:r>
      <w:r>
        <w:t>对称性到</w:t>
      </w:r>
      <w:r>
        <w:rPr>
          <w:rFonts w:hint="eastAsia"/>
        </w:rPr>
        <w:t>对称性</w:t>
      </w:r>
      <w:r>
        <w:t>破缺以及非对称性的过程</w:t>
      </w:r>
      <w:r w:rsidR="00801C46">
        <w:t>。</w:t>
      </w:r>
      <w:r w:rsidR="00FA1649" w:rsidRPr="00FA1649">
        <w:t>P.W. Anderson</w:t>
      </w:r>
      <w:r w:rsidR="00FA1649">
        <w:t>在他</w:t>
      </w:r>
      <w:r w:rsidR="004A173A">
        <w:t>物理</w:t>
      </w:r>
      <w:r w:rsidR="00FA1649">
        <w:t>诺贝尔得奖</w:t>
      </w:r>
      <w:r w:rsidR="004A173A">
        <w:t>演讲中指出</w:t>
      </w:r>
      <w:r w:rsidR="00C61E27">
        <w:rPr>
          <w:rFonts w:hint="eastAsia"/>
        </w:rPr>
        <w:t>多体</w:t>
      </w:r>
      <w:r w:rsidR="00C61E27">
        <w:t>系统对称性</w:t>
      </w:r>
      <w:r w:rsidR="002A2A05">
        <w:t>破缺</w:t>
      </w:r>
      <w:r w:rsidR="007C5039">
        <w:t>水平</w:t>
      </w:r>
      <w:r w:rsidR="00EA5796">
        <w:t>的高低</w:t>
      </w:r>
      <w:r w:rsidR="00C61E27">
        <w:rPr>
          <w:rFonts w:hint="eastAsia"/>
        </w:rPr>
        <w:t>与</w:t>
      </w:r>
      <w:r w:rsidR="00C61E27">
        <w:t>系统复杂度和功能专门</w:t>
      </w:r>
      <w:r w:rsidR="00C61E27">
        <w:rPr>
          <w:rFonts w:hint="eastAsia"/>
        </w:rPr>
        <w:t>化密切</w:t>
      </w:r>
      <w:r w:rsidR="00C61E27">
        <w:t>相关</w:t>
      </w:r>
      <w:r w:rsidR="007C1C56">
        <w:fldChar w:fldCharType="begin"/>
      </w:r>
      <w:r w:rsidR="007C1C56">
        <w:instrText xml:space="preserve"> ADDIN ZOTERO_ITEM CSL_CITATION {"citationID":"2aca2bjin4","properties":{"formattedCitation":"[1]","plainCitation":"[1]"},"citationItems":[{"id":145,"uris":["http://zotero.org/users/2417949/items/GAIHMX9A"],"uri":["http://zotero.org/users/2417949/items/GAIHMX9A"],"itemData":{"id":145,"type":"article-journal","title":"More is different","container-title":"Science (New York, N.Y.)","page":"393-396","volume":"177","issue":"4047","source":"PubMed","DOI":"10.1126/science.177.4047.393","ISSN":"0036-8075","note":"PMID: 17796623","journalAbbreviation":"Science","language":"eng","author":[{"family":"Anderson","given":"P. W."}],"issued":{"date-parts":[["1972",8,4]]},"PMID":"17796623"}}],"schema":"https://github.com/citation-style-language/schema/raw/master/csl-citation.json"} </w:instrText>
      </w:r>
      <w:r w:rsidR="007C1C56">
        <w:fldChar w:fldCharType="separate"/>
      </w:r>
      <w:r w:rsidR="007C1C56">
        <w:rPr>
          <w:noProof/>
        </w:rPr>
        <w:t>[1]</w:t>
      </w:r>
      <w:r w:rsidR="007C1C56">
        <w:fldChar w:fldCharType="end"/>
      </w:r>
      <w:r w:rsidR="00C61E27">
        <w:t>。</w:t>
      </w:r>
      <w:r w:rsidR="00EE523A">
        <w:t>在</w:t>
      </w:r>
      <w:r w:rsidR="00EE523A">
        <w:rPr>
          <w:rFonts w:hint="eastAsia"/>
        </w:rPr>
        <w:t>生命</w:t>
      </w:r>
      <w:r w:rsidR="00EE523A">
        <w:t>科学中</w:t>
      </w:r>
      <w:r w:rsidR="00F31BA4">
        <w:t>，各个尺度上</w:t>
      </w:r>
      <w:r w:rsidR="003E1C68">
        <w:t>系统功能的分化都与相应的对称性破缺密切相关</w:t>
      </w:r>
      <w:r w:rsidR="00F2593C">
        <w:t>，</w:t>
      </w:r>
      <w:r w:rsidR="00F2593C">
        <w:rPr>
          <w:rFonts w:hint="eastAsia"/>
        </w:rPr>
        <w:t>从</w:t>
      </w:r>
      <w:r w:rsidR="00F2593C">
        <w:t>分子</w:t>
      </w:r>
      <w:r w:rsidR="00713C47">
        <w:t>组装</w:t>
      </w:r>
      <w:r w:rsidR="00F2593C">
        <w:t>到</w:t>
      </w:r>
      <w:r w:rsidR="0030210C">
        <w:t>亚细胞结构，</w:t>
      </w:r>
      <w:r w:rsidR="0030210C">
        <w:rPr>
          <w:rFonts w:hint="eastAsia"/>
        </w:rPr>
        <w:t>从</w:t>
      </w:r>
      <w:r w:rsidR="00700A77">
        <w:t>多种多样</w:t>
      </w:r>
      <w:r w:rsidR="00B130D5">
        <w:t>的</w:t>
      </w:r>
      <w:r w:rsidR="00704453">
        <w:t>细胞类型</w:t>
      </w:r>
      <w:r w:rsidR="00700A77">
        <w:t>的出现</w:t>
      </w:r>
      <w:r w:rsidR="00704453">
        <w:t>到</w:t>
      </w:r>
      <w:r w:rsidR="006D26E0">
        <w:t>机体</w:t>
      </w:r>
      <w:r w:rsidR="00704453">
        <w:t>组织</w:t>
      </w:r>
      <w:r w:rsidR="009A605A">
        <w:t>的分化</w:t>
      </w:r>
      <w:r w:rsidR="00BF20C7">
        <w:t>，</w:t>
      </w:r>
      <w:r w:rsidR="00DE7C6E">
        <w:t>以至于</w:t>
      </w:r>
      <w:r w:rsidR="00BF20C7">
        <w:t>到胚胎发育等等都是如此</w:t>
      </w:r>
      <w:r w:rsidR="00227280">
        <w:fldChar w:fldCharType="begin"/>
      </w:r>
      <w:r w:rsidR="000E0949">
        <w:instrText xml:space="preserve"> ADDIN ZOTERO_ITEM CSL_CITATION {"citationID":"2eica35982","properties":{"formattedCitation":"[2]","plainCitation":"[2]"},"citationItems":[{"id":127,"uris":["http://zotero.org/users/2417949/items/JUCP2A3U"],"uri":["http://zotero.org/users/2417949/items/JUCP2A3U"],"itemData":{"id":127,"type":"article-journal","title":"Symmetry Breaking in Biology","container-title":"Cold Spring Harbor Perspectives in Biology","volume":"2","issue":"3","source":"PubMed Central","abstract":"Symmetry breaking is essential for cell movement, polarity, and developmental patterning. Amplification of initial asymmetry is key to the conserved mechanisms involved.","URL":"http://www.ncbi.nlm.nih.gov/pmc/articles/PMC2829966/","DOI":"10.1101/cshperspect.a003475","ISSN":"1943-0264","note":"PMID: 20300216\nPMCID: PMC2829966","journalAbbreviation":"Cold Spring Harb Perspect Biol","author":[{"family":"Li","given":"Rong"},{"family":"Bowerman","given":"Bruce"}],"issued":{"date-parts":[["2010",3]]},"accessed":{"date-parts":[["2016",2,18]]},"PMID":"20300216","PMCID":"PMC2829966"}}],"schema":"https://github.com/citation-style-language/schema/raw/master/csl-citation.json"} </w:instrText>
      </w:r>
      <w:r w:rsidR="00227280">
        <w:fldChar w:fldCharType="separate"/>
      </w:r>
      <w:r w:rsidR="000E0949">
        <w:rPr>
          <w:noProof/>
        </w:rPr>
        <w:t>[2]</w:t>
      </w:r>
      <w:r w:rsidR="00227280">
        <w:fldChar w:fldCharType="end"/>
      </w:r>
      <w:r w:rsidR="00BF20C7">
        <w:t>。</w:t>
      </w:r>
      <w:r w:rsidR="005939A0">
        <w:t>对称性</w:t>
      </w:r>
      <w:r w:rsidR="0023605C">
        <w:t>破缺</w:t>
      </w:r>
      <w:r w:rsidR="005939A0">
        <w:t>也被认为是生物</w:t>
      </w:r>
      <w:r w:rsidR="00961880">
        <w:t>新的突变形式的来源与生物进化的</w:t>
      </w:r>
      <w:r w:rsidR="00E44440">
        <w:t>内在</w:t>
      </w:r>
      <w:r w:rsidR="00961880">
        <w:t>驱动力</w:t>
      </w:r>
      <w:r w:rsidR="008900E1">
        <w:fldChar w:fldCharType="begin"/>
      </w:r>
      <w:r w:rsidR="008900E1">
        <w:instrText xml:space="preserve"> ADDIN ZOTERO_ITEM CSL_CITATION {"citationID":"ffh74gvn9","properties":{"formattedCitation":"[3]","plainCitation":"[3]"},"citationItems":[{"id":61,"uris":["http://zotero.org/users/2417949/items/VFFKBE48"],"uri":["http://zotero.org/users/2417949/items/VFFKBE48"],"itemData":{"id":61,"type":"article-journal","title":"Symmetry Breaking and the Evolution of Development","container-title":"Science","page":"828-833","volume":"306","issue":"5697","source":"www.sciencemag.org","abstract":"Because of its simplicity, the binary-switch nature of left-right asymmetry permits meaningful comparisons among many different organisms. Phylogenetic analyses of asymmetry variation, inheritance, and molecular mechanisms reveal unexpected insights into how development evolves. First, directional asymmetry, an evolutionary novelty, arose from nonheritable origins almost as often as from mutations, implying that genetic assimilation (“phenotype precedes genotype”) is a common mode of evolution. Second, the molecular pathway directing hearts leftward—the nodal cascade—varies considerably among vertebrates (homology of form does not require homology of development) and was possibly co-opted from a preexisting asymmetrical chordate organ system. Finally, declining frequencies of spontaneous asymmetry reversal throughout vertebrate evolution suggest that heart development has become more canalized.","DOI":"10.1126/science.1103707","ISSN":"0036-8075, 1095-9203","note":"PMID: 15514148","journalAbbreviation":"Science","language":"en","author":[{"family":"Palmer","given":"A. Richard"}],"issued":{"date-parts":[["2004",10,29]]},"PMID":"15514148"}}],"schema":"https://github.com/citation-style-language/schema/raw/master/csl-citation.json"} </w:instrText>
      </w:r>
      <w:r w:rsidR="008900E1">
        <w:fldChar w:fldCharType="separate"/>
      </w:r>
      <w:r w:rsidR="008900E1">
        <w:rPr>
          <w:noProof/>
        </w:rPr>
        <w:t>[3]</w:t>
      </w:r>
      <w:r w:rsidR="008900E1">
        <w:fldChar w:fldCharType="end"/>
      </w:r>
      <w:r w:rsidR="009E4388">
        <w:t>。</w:t>
      </w:r>
    </w:p>
    <w:p w14:paraId="43AE1ED8" w14:textId="1D781624" w:rsidR="00332D30" w:rsidRDefault="00EF6288" w:rsidP="005F35C9">
      <w:pPr>
        <w:pStyle w:val="ListParagraph"/>
        <w:ind w:left="360"/>
      </w:pPr>
      <w:r>
        <w:t>生物</w:t>
      </w:r>
      <w:r w:rsidR="00FF56BD">
        <w:t>在</w:t>
      </w:r>
      <w:r w:rsidR="00D064CD">
        <w:t>大</w:t>
      </w:r>
      <w:r w:rsidR="00C716EC">
        <w:t>尺度上</w:t>
      </w:r>
      <w:r w:rsidR="00D04838">
        <w:t>的对称性破缺往往根源于</w:t>
      </w:r>
      <w:r w:rsidR="00155E0B">
        <w:rPr>
          <w:rFonts w:hint="eastAsia"/>
        </w:rPr>
        <w:t>其</w:t>
      </w:r>
      <w:r w:rsidR="00E37720">
        <w:t>小</w:t>
      </w:r>
      <w:r w:rsidR="00155E0B">
        <w:t>尺度上</w:t>
      </w:r>
      <w:r w:rsidR="00D04838">
        <w:t>对称性破缺的发生。</w:t>
      </w:r>
      <w:r w:rsidR="00A50251">
        <w:rPr>
          <w:rFonts w:hint="eastAsia"/>
        </w:rPr>
        <w:t>亚</w:t>
      </w:r>
      <w:r w:rsidR="00A50251">
        <w:t>细胞结构层次的对称性破缺可能会导致持续的</w:t>
      </w:r>
      <w:r w:rsidR="00A50251">
        <w:rPr>
          <w:rFonts w:hint="eastAsia"/>
        </w:rPr>
        <w:t>极性</w:t>
      </w:r>
      <w:r w:rsidR="00A50251">
        <w:t>生长从而产生不同的细胞形状来满足细胞分化、</w:t>
      </w:r>
      <w:r w:rsidR="00A50251">
        <w:rPr>
          <w:rFonts w:hint="eastAsia"/>
        </w:rPr>
        <w:t>细胞</w:t>
      </w:r>
      <w:r w:rsidR="00A50251">
        <w:t>融合、</w:t>
      </w:r>
      <w:r w:rsidR="00A50251">
        <w:rPr>
          <w:rFonts w:hint="eastAsia"/>
        </w:rPr>
        <w:t>神经</w:t>
      </w:r>
      <w:r w:rsidR="00A50251">
        <w:t>细胞轴突</w:t>
      </w:r>
      <w:r w:rsidR="00A50251">
        <w:rPr>
          <w:rFonts w:hint="eastAsia"/>
        </w:rPr>
        <w:t>等等各种</w:t>
      </w:r>
      <w:r w:rsidR="00A50251">
        <w:t>需求</w:t>
      </w:r>
      <w:r w:rsidR="00A31F25">
        <w:fldChar w:fldCharType="begin"/>
      </w:r>
      <w:r w:rsidR="00444D11">
        <w:instrText xml:space="preserve"> ADDIN ZOTERO_ITEM CSL_CITATION {"citationID":"F5lFsoUV","properties":{"formattedCitation":"{\\rtf [4\\uc0\\u8211{}7]}","plainCitation":"[4–7]"},"citationItems":[{"id":154,"uris":["http://zotero.org/users/2417949/items/FUZF759D"],"uri":["http://zotero.org/users/2417949/items/FUZF759D"],"itemData":{"id":154,"type":"article-journal","title":"Cellular Polarity in Prokaryotic Organisms","container-title":"Cold Spring Harbor Perspectives in Biology","volume":"1","issue":"6","source":"PubMed Central","abstract":"Simple visual inspection of bacteria indicated that, at least in some otherwise symmetric cells, structures such as flagella were often seen at a single pole. Because these structures are composed of proteins, it was not clear how to reconcile these observations of morphological asymmetry with the widely held view of bacteria as unstructured “bags of enzymes.” However, over the last decade, numerous GFP tagged proteins have been found at specific intracellular locations such as the poles of the cells, indicating that bacteria have a high degree of intracellular organization. Here we will explore the role of chromosomal asymmetry and the presence of “new” and “old” poles that result from the cytokinesis of rod-shaped cells in establishing bipolar and monopolar protein localization patterns. This article is intended to be illustrative, not exhaustive, so we have focused on examples drawn largely from Caulobacter crescentus and Bacillus subtilis, two bacteria that undergo dramatic morphological transformation. We will highlight how breaking monopolar symmetry is essential for the correct development of these organisms., Bacteria have a far more complex internal organization than we thought. Polarity proteins may mark “old” and “new” poles, and each gene seems to have a defined spatial location.","URL":"http://www.ncbi.nlm.nih.gov/pmc/articles/PMC2882128/","DOI":"10.1101/cshperspect.a003368","ISSN":"1943-0264","note":"PMID: 20457568\nPMCID: PMC2882128","journalAbbreviation":"Cold Spring Harb Perspect Biol","author":[{"family":"Dworkin","given":"Jonathan"}],"issued":{"date-parts":[["2009",12]]},"accessed":{"date-parts":[["2016",2,18]]},"PMID":"20457568","PMCID":"PMC2882128"}},{"id":157,"uris":["http://zotero.org/users/2417949/items/MS4RRPK3"],"uri":["http://zotero.org/users/2417949/items/MS4RRPK3"],"itemData":{"id":157,"type":"article-journal","title":"Shaping Fission Yeast with Microtubules","container-title":"Cold Spring Harbor Perspectives in Biology","volume":"1","issue":"1","source":"PubMed Central","abstract":"For cell morphogenesis, the cell must establish distinct spatial domains at specified locations at the cell surface. Here, we review the molecular mechanisms of cell polarity in the fission yeast Schizosaccharomyces pombe. These are simple rod-shaped cells that form cortical domains at cell tips for cell growth and at the cell middle for cytokinesis. In both cases, microtubule-based systems help to shape the cell by breaking symmetry, providing endogenous spatial cues to position these sites. The plus ends of dynamic microtubules deliver polarity factors to the cell tips, leading to local activation of the GTPase cdc42p and the actin assembly machinery. Microtubule bundles contribute to positioning the division plane through the nucleus and the cytokinesis factor mid1p. Recent advances illustrate how the spatial and temporal regulation of cell polarization integrates many elements, including historical landmarks, positive and negative controls, and competition between pathways., The morphogenesis of fission yeast cells is regulated by microtubule-based mechanisms that position sites of actin assembly at cell tips and the cell division plane.","URL":"http://www.ncbi.nlm.nih.gov/pmc/articles/PMC2742080/","DOI":"10.1101/cshperspect.a001347","ISSN":"1943-0264","note":"PMID: 20066076\nPMCID: PMC2742080","journalAbbreviation":"Cold Spring Harb Perspect Biol","author":[{"family":"Chang","given":"Fred"},{"family":"Martin","given":"Sophie G."}],"issued":{"date-parts":[["2009",7]]},"accessed":{"date-parts":[["2016",2,18]]},"PMID":"20066076","PMCID":"PMC2742080"}},{"id":160,"uris":["http://zotero.org/users/2417949/items/QE2M9V5R"],"uri":["http://zotero.org/users/2417949/items/QE2M9V5R"],"itemData":{"id":160,"type":"article-journal","title":"Symmetry Breaking in the Life Cycle of the Budding Yeast","container-title":"Cold Spring Harbor Perspectives in Biology","volume":"1","issue":"3","source":"PubMed Central","abstract":"The budding yeast Saccharomyces cerevisiae has been an invaluable model system for the study of the establishment of cellular asymmetry and growth polarity in response to specific physiological cues. A large body of experimental observations has shown that yeast cells are able to break symmetry and establish polarity through two coupled and partially redundant intrinsic mechanisms, even in the absence of any pre-existing external asymmetry. One of these mechanisms is dependent upon interplay between the actin cytoskeleton and the Rho family GTPase Cdc42, whereas the other relies on a Cdc42 GTPase signaling network. Integral to these mechanisms appear to be positive feedback loops capable of amplifying small and stochastic asymmetries. Spatial cues, such as bud scars and pheromone gradients, orient cell polarity by modulating the regulation of the Cdc42 GTPase cycle, thereby biasing the site of asymmetry amplification., Yeast cells polarize to initiate budding or mating. The Cdc42 GTPase is central to actin-dependent and -independent polarization mechanisms, which can operate without external cues.","URL":"http://www.ncbi.nlm.nih.gov/pmc/articles/PMC2773630/","DOI":"10.1101/cshperspect.a003384","ISSN":"1943-0264","note":"PMID: 20066112\nPMCID: PMC2773630","journalAbbreviation":"Cold Spring Harb Perspect Biol","author":[{"family":"Slaughter","given":"Brian D."},{"family":"Smith","given":"Sarah E."},{"family":"Li","given":"Rong"}],"issued":{"date-parts":[["2009",9]]},"accessed":{"date-parts":[["2016",2,18]]},"PMID":"20066112","PMCID":"PMC2773630"}},{"id":163,"uris":["http://zotero.org/users/2417949/items/7KICVXMP"],"uri":["http://zotero.org/users/2417949/items/7KICVXMP"],"itemData":{"id":163,"type":"article-journal","title":"Neuronal Polarity","container-title":"Cold Spring Harbor Perspectives in Biology","volume":"1","issue":"3","source":"PubMed Central","abstract":"The assembly of functional neuronal networks in the developing animal relies on the polarization of neurons, i.e., the formation of a single axon and multiple dendrites. Breaking the symmetry of neurons depends on cytoskeletal rearrangements. In particular, axon specification requires local dynamic instability of actin and stabilization of microtubules. The polarized cytoskeleton also provides the basis for selective trafficking and retention of cellular components in the future somatodendritic or axonal compartments. Hence, these mechanisms are not only essential to achieve neuronal polarization, but also to maintain it. Different extracellular and intracellular signals converge on the regulation of the cytoskeleton. Most notably, Rho GTPases, PI3K, Ena/VASP, cofilin and SAD kinases are major intracellular regulators of neuronal polarity. Analyzing polarity signals under physiological conditions will provide a better understanding of how neurons can be induced to repolarize under pathological conditions, i.e., to regenerate their axons after central nervous system (CNS) injury., Neuronal polarity is required for neurotransmission and pathfinding. Rho GTPases, PI3K, and other cytoskeletal regulators generate and maintain this polarity.","URL":"http://www.ncbi.nlm.nih.gov/pmc/articles/PMC2773638/","DOI":"10.1101/cshperspect.a001644","ISSN":"1943-0264","note":"PMID: 20066106\nPMCID: PMC2773638","journalAbbreviation":"Cold Spring Harb Perspect Biol","author":[{"family":"Tahirovic","given":"Sabina"},{"family":"Bradke","given":"Frank"}],"issued":{"date-parts":[["2009",9]]},"accessed":{"date-parts":[["2016",2,18]]},"PMID":"20066106","PMCID":"PMC2773638"}}],"schema":"https://github.com/citation-style-language/schema/raw/master/csl-citation.json"} </w:instrText>
      </w:r>
      <w:r w:rsidR="00A31F25">
        <w:fldChar w:fldCharType="separate"/>
      </w:r>
      <w:r w:rsidR="00444D11" w:rsidRPr="00444D11">
        <w:rPr>
          <w:rFonts w:ascii="Calibri"/>
        </w:rPr>
        <w:t>[4–7]</w:t>
      </w:r>
      <w:r w:rsidR="00A31F25">
        <w:fldChar w:fldCharType="end"/>
      </w:r>
      <w:r w:rsidR="00A50251">
        <w:t>。</w:t>
      </w:r>
      <w:r w:rsidR="00C0510C">
        <w:t>例如，</w:t>
      </w:r>
      <w:r w:rsidR="00377364">
        <w:t>P. Alexis</w:t>
      </w:r>
      <w:r w:rsidR="00377364">
        <w:t>等</w:t>
      </w:r>
      <w:r w:rsidR="0005012B">
        <w:t>在研究</w:t>
      </w:r>
      <w:r w:rsidR="0065008D" w:rsidRPr="0065008D">
        <w:rPr>
          <w:rFonts w:hint="eastAsia"/>
        </w:rPr>
        <w:t>拟南芥胚轴</w:t>
      </w:r>
      <w:r w:rsidR="0005012B">
        <w:t>生长对称性破缺的原因</w:t>
      </w:r>
      <w:r w:rsidR="001D6DBD">
        <w:t>时</w:t>
      </w:r>
      <w:r w:rsidR="0005012B">
        <w:t>发现</w:t>
      </w:r>
      <w:r w:rsidR="001F4E88">
        <w:t>拟南芥胚轴生长对称性破缺</w:t>
      </w:r>
      <w:r w:rsidR="00C20FB2">
        <w:t>源</w:t>
      </w:r>
      <w:r w:rsidR="001F4E88">
        <w:t>于壁力</w:t>
      </w:r>
      <w:r w:rsidR="00E15CDB">
        <w:t>学上</w:t>
      </w:r>
      <w:r w:rsidR="006D3B24">
        <w:t>的</w:t>
      </w:r>
      <w:r w:rsidR="00E15CDB">
        <w:t>细胞</w:t>
      </w:r>
      <w:r w:rsidR="001F4E88">
        <w:t>非对称性</w:t>
      </w:r>
      <w:r w:rsidR="002C6780">
        <w:t>的发生</w:t>
      </w:r>
      <w:r w:rsidR="00BA31DA">
        <w:t>，</w:t>
      </w:r>
      <w:r w:rsidR="00BA31DA">
        <w:rPr>
          <w:rFonts w:hint="eastAsia"/>
        </w:rPr>
        <w:t>而</w:t>
      </w:r>
      <w:r w:rsidR="00BA31DA">
        <w:t>细胞</w:t>
      </w:r>
      <w:r w:rsidR="00A853BD">
        <w:t>壁</w:t>
      </w:r>
      <w:r w:rsidR="00A853BD">
        <w:rPr>
          <w:rFonts w:hint="eastAsia"/>
        </w:rPr>
        <w:t>受力</w:t>
      </w:r>
      <w:r w:rsidR="00BA31DA">
        <w:t>非对称性</w:t>
      </w:r>
      <w:r w:rsidR="00562353">
        <w:t>的发生</w:t>
      </w:r>
      <w:r w:rsidR="00BA31DA">
        <w:t>又</w:t>
      </w:r>
      <w:r w:rsidR="00F4780B">
        <w:t>是</w:t>
      </w:r>
      <w:r w:rsidR="00711A45">
        <w:rPr>
          <w:rFonts w:hint="eastAsia"/>
        </w:rPr>
        <w:t>由</w:t>
      </w:r>
      <w:r w:rsidR="00B11C06" w:rsidRPr="00B11C06">
        <w:rPr>
          <w:rFonts w:hint="eastAsia"/>
        </w:rPr>
        <w:t>双极果胶的甲酯化</w:t>
      </w:r>
      <w:r w:rsidR="00B11C06">
        <w:rPr>
          <w:rFonts w:hint="eastAsia"/>
        </w:rPr>
        <w:t>来</w:t>
      </w:r>
      <w:r w:rsidR="00B11C06">
        <w:t>触发</w:t>
      </w:r>
      <w:r w:rsidR="00BA74FB">
        <w:fldChar w:fldCharType="begin"/>
      </w:r>
      <w:r w:rsidR="00444D11">
        <w:instrText xml:space="preserve"> ADDIN ZOTERO_ITEM CSL_CITATION {"citationID":"1gajdtorsm","properties":{"formattedCitation":"[8]","plainCitation":"[8]"},"citationItems":[{"id":150,"uris":["http://zotero.org/users/2417949/items/ZRVRP9TC"],"uri":["http://zotero.org/users/2417949/items/ZRVRP9TC"],"itemData":{"id":150,"type":"article-journal","title":"The Control of Growth Symmetry Breaking in the Arabidopsis Hypocotyl","container-title":"Current Biology","page":"1746-1752","volume":"25","issue":"13","source":"www.cell.com","abstract":"Complex shapes in biology depend on the ability of cells to shift from isotropic to anisotropic growth during development. In plants, this growth symmetry breaking reflects changes in the extensibility of the cell walls. The textbook view is that the direction of turgor-driven cell expansion depends on the cortical microtubule (CMT)-mediated orientation of cellulose microfibrils [ 1, 2 ]. Here, we show that this view is incomplete at best. We used atomic force microscopy (AFM) to study changes in cell-wall mechanics associated with growth symmetry breaking within the hypocotyl epidermis. We show that, first, growth symmetry breaking is preceded by an asymmetric loosening of longitudinal, as compared to transverse, anticlinal walls, in the absence of a change in CMT orientation. Second, this wall loosening is triggered by the selective de-methylesterification of cell-wall pectin in longitudinal walls, and, third, the resultant mechanical asymmetry is required for the growth symmetry breaking. Indeed, preventing or promoting pectin de-methylesterification, respectively, increased or decreased the stiffness of all the cell walls, but in both cases reduced the growth anisotropy. Finally, we show that the subsequent CMT reorientation contributes to the consolidation of the growth axis but is not required for the growth symmetry breaking. We conclude that growth symmetry breaking is controlled at a cellular scale by bipolar pectin de-methylesterification, rather than by the cellulose-dependent mechanical anisotropy of the cell walls themselves. Such a cell asymmetry-driven mechanism is comparable to that underlying tip growth in plants [ 3 ] but also anisotropic cell growth in animal cells [ 4 ].","DOI":"10.1016/j.cub.2015.05.022","ISSN":"0960-9822","note":"PMID: 26073136","journalAbbreviation":"Current Biology","language":"English","author":[{"family":"Peaucelle","given":"Alexis"},{"family":"Wightman","given":"Raymond"},{"family":"Höfte","given":"Herman"}],"issued":{"date-parts":[["2015",6,29]]},"PMID":"26073136"}}],"schema":"https://github.com/citation-style-language/schema/raw/master/csl-citation.json"} </w:instrText>
      </w:r>
      <w:r w:rsidR="00BA74FB">
        <w:fldChar w:fldCharType="separate"/>
      </w:r>
      <w:r w:rsidR="00444D11">
        <w:rPr>
          <w:noProof/>
        </w:rPr>
        <w:t>[8]</w:t>
      </w:r>
      <w:r w:rsidR="00BA74FB">
        <w:fldChar w:fldCharType="end"/>
      </w:r>
      <w:r w:rsidR="000A5EE1">
        <w:t>。</w:t>
      </w:r>
      <w:r w:rsidR="00A50251">
        <w:t xml:space="preserve"> </w:t>
      </w:r>
      <w:r w:rsidR="007A3E0B">
        <w:t>这些都充分表明，我们观察到的生物</w:t>
      </w:r>
      <w:r w:rsidR="005065C8">
        <w:t>系统在</w:t>
      </w:r>
      <w:r w:rsidR="00703BA4">
        <w:rPr>
          <w:rFonts w:hint="eastAsia"/>
        </w:rPr>
        <w:t>高层次</w:t>
      </w:r>
      <w:r w:rsidR="00703BA4">
        <w:t>上的对称性破缺现象</w:t>
      </w:r>
      <w:r w:rsidR="00D20917">
        <w:t>往往可以通过</w:t>
      </w:r>
      <w:r w:rsidR="00C02ABC">
        <w:t>生物</w:t>
      </w:r>
      <w:r w:rsidR="00BD6E42">
        <w:t>系统</w:t>
      </w:r>
      <w:r w:rsidR="005D4746">
        <w:t>的</w:t>
      </w:r>
      <w:r w:rsidR="00703BA4">
        <w:t>低层次</w:t>
      </w:r>
      <w:r w:rsidR="00BD6E42">
        <w:t>水平上的对称性</w:t>
      </w:r>
      <w:r w:rsidR="008B43D1">
        <w:t>破缺</w:t>
      </w:r>
      <w:r w:rsidR="00C93039">
        <w:t>机理来解释</w:t>
      </w:r>
      <w:r w:rsidR="008B43D1">
        <w:t>。</w:t>
      </w:r>
      <w:r w:rsidR="00FA5FA2">
        <w:t>我们可以</w:t>
      </w:r>
      <w:r w:rsidR="00FA5FA2">
        <w:rPr>
          <w:rFonts w:hint="eastAsia"/>
        </w:rPr>
        <w:t>预见</w:t>
      </w:r>
      <w:r w:rsidR="00FA5FA2">
        <w:t>，生命的多样性与</w:t>
      </w:r>
      <w:r w:rsidR="00F33368">
        <w:t>复杂的</w:t>
      </w:r>
      <w:r w:rsidR="00FA5FA2">
        <w:t>功能性</w:t>
      </w:r>
      <w:r w:rsidR="00B61BFB">
        <w:t>都在某种</w:t>
      </w:r>
      <w:r w:rsidR="00B61BFB">
        <w:rPr>
          <w:rFonts w:hint="eastAsia"/>
        </w:rPr>
        <w:t>层次</w:t>
      </w:r>
      <w:r w:rsidR="00B61BFB">
        <w:t>上</w:t>
      </w:r>
      <w:r w:rsidR="00FA5FA2">
        <w:t>由分子组装水平的对称性破缺</w:t>
      </w:r>
      <w:r w:rsidR="00692390">
        <w:t>造成的</w:t>
      </w:r>
      <w:r w:rsidR="00FA5FA2">
        <w:t>。</w:t>
      </w:r>
    </w:p>
    <w:p w14:paraId="4D941B96" w14:textId="77777777" w:rsidR="003F2388" w:rsidRDefault="006018EB" w:rsidP="005F35C9">
      <w:pPr>
        <w:pStyle w:val="ListParagraph"/>
        <w:ind w:left="360"/>
      </w:pPr>
      <w:r>
        <w:t>除了狭义上的空间对称性之外，</w:t>
      </w:r>
      <w:r w:rsidR="007A4899">
        <w:rPr>
          <w:rFonts w:hint="eastAsia"/>
        </w:rPr>
        <w:t>生命</w:t>
      </w:r>
      <w:r w:rsidR="00F6482A">
        <w:t>科学中</w:t>
      </w:r>
      <w:r w:rsidR="00E417B2">
        <w:t>其他形式的对称性</w:t>
      </w:r>
      <w:r w:rsidR="003530D8">
        <w:rPr>
          <w:rFonts w:hint="eastAsia"/>
        </w:rPr>
        <w:t>也</w:t>
      </w:r>
      <w:r w:rsidR="003530D8">
        <w:t>可能是</w:t>
      </w:r>
      <w:r w:rsidR="007445DE">
        <w:t>影响生命发展的重要</w:t>
      </w:r>
      <w:r w:rsidR="007445DE">
        <w:rPr>
          <w:rFonts w:hint="eastAsia"/>
        </w:rPr>
        <w:t>因素</w:t>
      </w:r>
      <w:r w:rsidR="007445DE">
        <w:t>。</w:t>
      </w:r>
      <w:r w:rsidR="000041A0">
        <w:t>当</w:t>
      </w:r>
      <w:r w:rsidR="000041A0">
        <w:t>DNA</w:t>
      </w:r>
      <w:r w:rsidR="000041A0">
        <w:t>结构模型被</w:t>
      </w:r>
      <w:r w:rsidR="000041A0">
        <w:rPr>
          <w:rFonts w:hint="eastAsia"/>
        </w:rPr>
        <w:t>提</w:t>
      </w:r>
      <w:r w:rsidR="000041A0">
        <w:t>出来以后，</w:t>
      </w:r>
      <w:r w:rsidR="006004F2">
        <w:t>近些年来</w:t>
      </w:r>
      <w:r w:rsidR="00326510">
        <w:rPr>
          <w:rFonts w:hint="eastAsia"/>
        </w:rPr>
        <w:t>随着</w:t>
      </w:r>
      <w:r w:rsidR="005024B1">
        <w:t>各种基因测序计划的开展以及</w:t>
      </w:r>
      <w:r w:rsidR="00C544C2">
        <w:rPr>
          <w:rFonts w:hint="eastAsia"/>
        </w:rPr>
        <w:t>测序</w:t>
      </w:r>
      <w:r w:rsidR="00C544C2">
        <w:t>技术的提高，</w:t>
      </w:r>
      <w:r w:rsidR="009C7ABD">
        <w:rPr>
          <w:rFonts w:hint="eastAsia"/>
        </w:rPr>
        <w:t>生命</w:t>
      </w:r>
      <w:r w:rsidR="009C7ABD">
        <w:t>中蕴含的信息被认为是了解生命奥秘的密码。</w:t>
      </w:r>
      <w:r w:rsidR="00C31715">
        <w:t>生物信息的</w:t>
      </w:r>
      <w:r w:rsidR="00395F7B">
        <w:t>数据</w:t>
      </w:r>
      <w:r w:rsidR="00D021F5">
        <w:t>挖掘</w:t>
      </w:r>
      <w:r w:rsidR="00D021F5">
        <w:rPr>
          <w:rFonts w:hint="eastAsia"/>
        </w:rPr>
        <w:t>已经</w:t>
      </w:r>
      <w:r w:rsidR="00D021F5">
        <w:t>发展成为一个非常重要的研究</w:t>
      </w:r>
      <w:r w:rsidR="009E7FD5">
        <w:t>学科</w:t>
      </w:r>
      <w:r w:rsidR="003E0FCB">
        <w:t>。</w:t>
      </w:r>
      <w:r w:rsidR="00EC4C15">
        <w:rPr>
          <w:rFonts w:hint="eastAsia"/>
        </w:rPr>
        <w:t>我们</w:t>
      </w:r>
      <w:r w:rsidR="00EC4C15">
        <w:t>可以预见信息的</w:t>
      </w:r>
      <w:r w:rsidR="00497B2C">
        <w:t>对称</w:t>
      </w:r>
      <w:r w:rsidR="00791C15">
        <w:t>性</w:t>
      </w:r>
      <w:r w:rsidR="00791C15">
        <w:fldChar w:fldCharType="begin"/>
      </w:r>
      <w:r w:rsidR="00791C15">
        <w:instrText xml:space="preserve"> ADDIN ZOTERO_ITEM CSL_CITATION {"citationID":"fcaWOxaz","properties":{"formattedCitation":"[9]","plainCitation":"[9]"},"citationItems":[{"id":166,"uris":["http://zotero.org/users/2417949/items/DVVMDSBH"],"uri":["http://zotero.org/users/2417949/items/DVVMDSBH"],"itemData":{"id":166,"type":"article-journal","title":"Symmetry of Information: A Closer Look","container-title":"arXiv:1206.5184 [cs, math]","source":"arXiv.org","abstract":"Symmetry of information establishes a relation between the information that x has about y (denoted I(x : y)) and the information that y has about x (denoted I(y : x)). In classical information theory, the two are exactly equal, but in algorithmical information theory, there is a small excess quantity of information that differentiates the two terms, caused by the necessity of packaging information in a way that makes it accessible to algorithms. It was shown in [Zim11] that in the case of strings with simple complexity (that is the Kolmogorov complexity of their Kolmogorov complexity is small), the relevant information can be packed in a very economical way, which leads to a tighter relation between I(x : y) and I(y : x) than the one provided in the classical symmetry-of-information theorem of Kolmogorov and Levin. We give here a simpler proof of this result, using a suggestion of Alexander Shen. This result implies a van Lambalgen- type theorem for finite strings and plain complexity: If x is c-random and y is c-random relative to x, then xy is O(c)-random. We show that a similar result holds for prefix-free complexity and weak-K-randomness.","URL":"http://arxiv.org/abs/1206.5184","note":"arXiv: 1206.5184","shortTitle":"Symmetry of Information","author":[{"family":"Zimand","given":"Marius"}],"issued":{"date-parts":[["2012",6,22]]},"accessed":{"date-parts":[["2016",2,18]]}}}],"schema":"https://github.com/citation-style-language/schema/raw/master/csl-citation.json"} </w:instrText>
      </w:r>
      <w:r w:rsidR="00791C15">
        <w:fldChar w:fldCharType="separate"/>
      </w:r>
      <w:r w:rsidR="00791C15">
        <w:rPr>
          <w:noProof/>
        </w:rPr>
        <w:t>[9]</w:t>
      </w:r>
      <w:r w:rsidR="00791C15">
        <w:fldChar w:fldCharType="end"/>
      </w:r>
      <w:r w:rsidR="00497B2C">
        <w:t>的也将是</w:t>
      </w:r>
      <w:r w:rsidR="00497B2C">
        <w:rPr>
          <w:rFonts w:hint="eastAsia"/>
        </w:rPr>
        <w:t>描述</w:t>
      </w:r>
      <w:r w:rsidR="00497B2C">
        <w:t>生物信息的</w:t>
      </w:r>
      <w:r w:rsidR="00497B2C">
        <w:rPr>
          <w:rFonts w:hint="eastAsia"/>
        </w:rPr>
        <w:t>一个</w:t>
      </w:r>
      <w:r w:rsidR="00497B2C">
        <w:t>重要</w:t>
      </w:r>
      <w:r w:rsidR="00497B2C">
        <w:rPr>
          <w:rFonts w:hint="eastAsia"/>
        </w:rPr>
        <w:t>手段</w:t>
      </w:r>
      <w:r w:rsidR="00497B2C">
        <w:t>。</w:t>
      </w:r>
    </w:p>
    <w:p w14:paraId="3779AE65" w14:textId="45F3323E" w:rsidR="00E417B2" w:rsidRDefault="002F0336" w:rsidP="005F35C9">
      <w:pPr>
        <w:pStyle w:val="ListParagraph"/>
        <w:ind w:left="360"/>
      </w:pPr>
      <w:r>
        <w:t>本研究拟</w:t>
      </w:r>
      <w:r w:rsidR="007847E4">
        <w:rPr>
          <w:rFonts w:hint="eastAsia"/>
        </w:rPr>
        <w:t>通过</w:t>
      </w:r>
      <w:r w:rsidR="007847E4">
        <w:t>量子化学计算方法以及分子动力学方法</w:t>
      </w:r>
      <w:r w:rsidR="00BD14A0">
        <w:t>来试图研究和解释我们在</w:t>
      </w:r>
      <w:r w:rsidR="00BD14A0">
        <w:rPr>
          <w:rFonts w:hint="eastAsia"/>
        </w:rPr>
        <w:t>基因</w:t>
      </w:r>
      <w:r w:rsidR="00BD14A0">
        <w:t>大数据分析时发现的</w:t>
      </w:r>
      <w:r w:rsidR="007847E4">
        <w:t>DNA</w:t>
      </w:r>
      <w:r w:rsidR="007847E4">
        <w:t>中</w:t>
      </w:r>
      <w:r w:rsidR="00BD14A0">
        <w:t>关于</w:t>
      </w:r>
      <w:proofErr w:type="spellStart"/>
      <w:r w:rsidR="00BD14A0">
        <w:t>CpG</w:t>
      </w:r>
      <w:proofErr w:type="spellEnd"/>
      <w:r w:rsidR="00BD14A0">
        <w:rPr>
          <w:rFonts w:hint="eastAsia"/>
        </w:rPr>
        <w:t>位点及其</w:t>
      </w:r>
      <w:r w:rsidR="00BD14A0">
        <w:t>甲基化的</w:t>
      </w:r>
      <w:r w:rsidR="007847E4">
        <w:t>信息对称性及对称性破缺</w:t>
      </w:r>
      <w:r w:rsidR="00A12D76">
        <w:t>的现象</w:t>
      </w:r>
      <w:r w:rsidR="00181848">
        <w:t>。</w:t>
      </w:r>
    </w:p>
    <w:p w14:paraId="6C4A13D9" w14:textId="77777777" w:rsidR="00E15CDB" w:rsidRDefault="00E15CDB" w:rsidP="005F35C9">
      <w:pPr>
        <w:pStyle w:val="ListParagraph"/>
        <w:ind w:left="360"/>
      </w:pPr>
    </w:p>
    <w:p w14:paraId="1E94372A" w14:textId="7802CDA0" w:rsidR="009A7287" w:rsidRDefault="009A7287" w:rsidP="009A7287">
      <w:pPr>
        <w:pStyle w:val="ListParagraph"/>
        <w:numPr>
          <w:ilvl w:val="1"/>
          <w:numId w:val="1"/>
        </w:numPr>
      </w:pPr>
      <w:proofErr w:type="spellStart"/>
      <w:r>
        <w:rPr>
          <w:rFonts w:hint="eastAsia"/>
        </w:rPr>
        <w:t>CpG</w:t>
      </w:r>
      <w:proofErr w:type="spellEnd"/>
      <w:r>
        <w:t>及其甲基</w:t>
      </w:r>
      <w:r>
        <w:rPr>
          <w:rFonts w:hint="eastAsia"/>
        </w:rPr>
        <w:t>化</w:t>
      </w:r>
      <w:r w:rsidR="00CC4009">
        <w:t>对生命科学及肿瘤学</w:t>
      </w:r>
      <w:r w:rsidR="0000568E">
        <w:rPr>
          <w:rFonts w:hint="eastAsia"/>
        </w:rPr>
        <w:t>有</w:t>
      </w:r>
      <w:r w:rsidR="00CC4009">
        <w:t>重要的意义</w:t>
      </w:r>
    </w:p>
    <w:p w14:paraId="138630A6" w14:textId="77777777" w:rsidR="00E1562C" w:rsidRDefault="00E01E23" w:rsidP="003343A8">
      <w:pPr>
        <w:pStyle w:val="ListParagraph"/>
        <w:ind w:left="360"/>
      </w:pPr>
      <w:r>
        <w:t>DNA</w:t>
      </w:r>
      <w:r>
        <w:t>中</w:t>
      </w:r>
      <w:proofErr w:type="spellStart"/>
      <w:r w:rsidR="00474F49">
        <w:t>CpG</w:t>
      </w:r>
      <w:proofErr w:type="spellEnd"/>
      <w:r w:rsidR="00474F49">
        <w:t>位点</w:t>
      </w:r>
      <w:r w:rsidR="00474F49">
        <w:rPr>
          <w:rFonts w:hint="eastAsia"/>
        </w:rPr>
        <w:t>与</w:t>
      </w:r>
      <w:r w:rsidR="00474F49">
        <w:t>DNA</w:t>
      </w:r>
      <w:r w:rsidR="00474F49">
        <w:rPr>
          <w:rFonts w:hint="eastAsia"/>
        </w:rPr>
        <w:t>的</w:t>
      </w:r>
      <w:r w:rsidR="00474F49">
        <w:t>甲基化密切相关，</w:t>
      </w:r>
      <w:r w:rsidR="00474F49">
        <w:rPr>
          <w:rFonts w:hint="eastAsia"/>
        </w:rPr>
        <w:t>而</w:t>
      </w:r>
      <w:r w:rsidR="00474F49">
        <w:t>DNA</w:t>
      </w:r>
      <w:r w:rsidR="00474F49">
        <w:t>的</w:t>
      </w:r>
      <w:r w:rsidR="00474F49">
        <w:rPr>
          <w:rFonts w:hint="eastAsia"/>
        </w:rPr>
        <w:t>甲基化</w:t>
      </w:r>
      <w:r w:rsidR="00474F49">
        <w:t>状态</w:t>
      </w:r>
      <w:r w:rsidR="00474F49">
        <w:rPr>
          <w:rFonts w:hint="eastAsia"/>
        </w:rPr>
        <w:t>的变化</w:t>
      </w:r>
      <w:r w:rsidR="00474F49">
        <w:t>又</w:t>
      </w:r>
      <w:r w:rsidR="00474F49">
        <w:rPr>
          <w:rFonts w:hint="eastAsia"/>
        </w:rPr>
        <w:t>对生命</w:t>
      </w:r>
      <w:r w:rsidR="00474F49">
        <w:t>的发育、</w:t>
      </w:r>
      <w:r w:rsidR="00474F49">
        <w:rPr>
          <w:rFonts w:hint="eastAsia"/>
        </w:rPr>
        <w:t>生长</w:t>
      </w:r>
      <w:r w:rsidR="00474F49">
        <w:t>等有重要的影响，</w:t>
      </w:r>
      <w:r w:rsidR="00474F49">
        <w:rPr>
          <w:rFonts w:hint="eastAsia"/>
        </w:rPr>
        <w:t>是表观</w:t>
      </w:r>
      <w:r w:rsidR="00474F49">
        <w:t>遗传学研究的一个非常</w:t>
      </w:r>
      <w:r w:rsidR="00474F49">
        <w:rPr>
          <w:rFonts w:hint="eastAsia"/>
        </w:rPr>
        <w:t>重要</w:t>
      </w:r>
      <w:r w:rsidR="00474F49">
        <w:t>的方面</w:t>
      </w:r>
      <w:r w:rsidR="00135B6C">
        <w:t>。</w:t>
      </w:r>
    </w:p>
    <w:p w14:paraId="7ECC1832" w14:textId="1E0518EA" w:rsidR="003343A8" w:rsidRDefault="00D577E1" w:rsidP="003343A8">
      <w:pPr>
        <w:pStyle w:val="ListParagraph"/>
        <w:ind w:left="360"/>
      </w:pPr>
      <w:r>
        <w:t>DNA</w:t>
      </w:r>
      <w:r>
        <w:t>中</w:t>
      </w:r>
      <w:proofErr w:type="spellStart"/>
      <w:r>
        <w:t>CpG</w:t>
      </w:r>
      <w:proofErr w:type="spellEnd"/>
      <w:r w:rsidR="00761C8E">
        <w:t>位点</w:t>
      </w:r>
      <w:r>
        <w:t>的分布有着非常明显的特异性</w:t>
      </w:r>
      <w:r w:rsidR="0081350B">
        <w:t>：</w:t>
      </w:r>
      <w:r w:rsidR="00F247AC">
        <w:t>一方面</w:t>
      </w:r>
      <w:r w:rsidR="00F247AC">
        <w:t>DNA</w:t>
      </w:r>
      <w:r w:rsidR="00F247AC">
        <w:t>中</w:t>
      </w:r>
      <w:proofErr w:type="spellStart"/>
      <w:r w:rsidR="00F247AC">
        <w:t>CpG</w:t>
      </w:r>
      <w:proofErr w:type="spellEnd"/>
      <w:r w:rsidR="00F247AC">
        <w:t>位点</w:t>
      </w:r>
      <w:r w:rsidR="007F7D3B">
        <w:rPr>
          <w:rFonts w:hint="eastAsia"/>
        </w:rPr>
        <w:t>比</w:t>
      </w:r>
      <w:r w:rsidR="007F7D3B">
        <w:t>其他</w:t>
      </w:r>
      <w:r w:rsidR="007F7D3B">
        <w:rPr>
          <w:rFonts w:hint="eastAsia"/>
        </w:rPr>
        <w:t>二</w:t>
      </w:r>
      <w:r w:rsidR="007F7D3B">
        <w:t>核苷酸位点的</w:t>
      </w:r>
      <w:r w:rsidR="007F7D3B">
        <w:rPr>
          <w:rFonts w:hint="eastAsia"/>
        </w:rPr>
        <w:t>密度</w:t>
      </w:r>
      <w:r w:rsidR="007F7D3B">
        <w:t>明显偏低</w:t>
      </w:r>
      <w:r w:rsidR="004B740F">
        <w:t>；</w:t>
      </w:r>
      <w:r w:rsidR="004B740F">
        <w:rPr>
          <w:rFonts w:hint="eastAsia"/>
        </w:rPr>
        <w:t>另一方面</w:t>
      </w:r>
      <w:r w:rsidR="0051506F">
        <w:t>DNA</w:t>
      </w:r>
      <w:r w:rsidR="0051506F">
        <w:t>中的</w:t>
      </w:r>
      <w:proofErr w:type="spellStart"/>
      <w:r w:rsidR="0051506F">
        <w:t>CpG</w:t>
      </w:r>
      <w:proofErr w:type="spellEnd"/>
      <w:r w:rsidR="0051506F">
        <w:rPr>
          <w:rFonts w:hint="eastAsia"/>
        </w:rPr>
        <w:t>位点</w:t>
      </w:r>
      <w:r w:rsidR="0051506F">
        <w:t>有着明显的成岛聚集的趋势。</w:t>
      </w:r>
      <w:proofErr w:type="spellStart"/>
      <w:r w:rsidR="00577F08">
        <w:t>CpG</w:t>
      </w:r>
      <w:proofErr w:type="spellEnd"/>
      <w:r w:rsidR="00577F08">
        <w:t>岛、</w:t>
      </w:r>
      <w:proofErr w:type="spellStart"/>
      <w:r w:rsidR="00577F08">
        <w:t>CpG</w:t>
      </w:r>
      <w:proofErr w:type="spellEnd"/>
      <w:r w:rsidR="00577F08">
        <w:t>滩等等概念被相继提出，</w:t>
      </w:r>
      <w:r w:rsidR="00577F08">
        <w:rPr>
          <w:rFonts w:hint="eastAsia"/>
        </w:rPr>
        <w:t>并</w:t>
      </w:r>
      <w:r w:rsidR="00577F08">
        <w:t>发现其跟基因的表达等有非常重要的关联</w:t>
      </w:r>
      <w:r w:rsidR="00B21250">
        <w:t>。</w:t>
      </w:r>
      <w:r w:rsidR="00577F08">
        <w:t xml:space="preserve"> </w:t>
      </w:r>
    </w:p>
    <w:p w14:paraId="2268AC1E" w14:textId="2CCC499F" w:rsidR="00D33AEA" w:rsidRDefault="00D33AEA" w:rsidP="003343A8">
      <w:pPr>
        <w:pStyle w:val="ListParagraph"/>
        <w:ind w:left="360"/>
      </w:pPr>
      <w:r>
        <w:t>DNA</w:t>
      </w:r>
      <w:r>
        <w:t>甲基化</w:t>
      </w:r>
      <w:r>
        <w:rPr>
          <w:rFonts w:hint="eastAsia"/>
        </w:rPr>
        <w:t>状态</w:t>
      </w:r>
      <w:r>
        <w:t>也在很多肿瘤基因组中有着非常明显的变化。</w:t>
      </w:r>
    </w:p>
    <w:p w14:paraId="2797E361" w14:textId="76754067" w:rsidR="001406B1" w:rsidRDefault="00C20341" w:rsidP="003343A8">
      <w:pPr>
        <w:pStyle w:val="ListParagraph"/>
        <w:ind w:left="360"/>
      </w:pPr>
      <w:r>
        <w:t>人们</w:t>
      </w:r>
      <w:r w:rsidR="001406B1">
        <w:t>在</w:t>
      </w:r>
      <w:r w:rsidR="001406B1">
        <w:rPr>
          <w:rFonts w:hint="eastAsia"/>
        </w:rPr>
        <w:t>大量</w:t>
      </w:r>
      <w:r w:rsidR="001406B1">
        <w:t>研究</w:t>
      </w:r>
      <w:proofErr w:type="spellStart"/>
      <w:r w:rsidR="001406B1">
        <w:t>CpG</w:t>
      </w:r>
      <w:proofErr w:type="spellEnd"/>
      <w:r w:rsidR="001406B1">
        <w:t>岛及其甲基化跟</w:t>
      </w:r>
      <w:r w:rsidR="001406B1">
        <w:rPr>
          <w:rFonts w:hint="eastAsia"/>
        </w:rPr>
        <w:t>生物</w:t>
      </w:r>
      <w:r w:rsidR="001406B1">
        <w:t>发育</w:t>
      </w:r>
      <w:r w:rsidR="003A293B">
        <w:t>以及肿瘤等各种疾病</w:t>
      </w:r>
      <w:r w:rsidR="00F01C2C">
        <w:t>之间的</w:t>
      </w:r>
      <w:r w:rsidR="003A293B">
        <w:t>关联的同时，</w:t>
      </w:r>
      <w:r w:rsidR="00D7576D">
        <w:t>DNA</w:t>
      </w:r>
      <w:r w:rsidR="00D7576D">
        <w:t>中</w:t>
      </w:r>
      <w:proofErr w:type="spellStart"/>
      <w:r w:rsidR="003A293B">
        <w:t>CpG</w:t>
      </w:r>
      <w:proofErr w:type="spellEnd"/>
      <w:r w:rsidR="00D7576D">
        <w:t>位点</w:t>
      </w:r>
      <w:r w:rsidR="003A293B">
        <w:t>为什么会趋向于形成这样的分布</w:t>
      </w:r>
      <w:r w:rsidR="003A293B">
        <w:rPr>
          <w:rFonts w:hint="eastAsia"/>
        </w:rPr>
        <w:t>及其</w:t>
      </w:r>
      <w:r w:rsidR="00D7576D">
        <w:t>如何对甲基化状态产生影响</w:t>
      </w:r>
      <w:r w:rsidR="00AC267A">
        <w:t>其</w:t>
      </w:r>
      <w:r w:rsidR="007B3637">
        <w:t>内在机理</w:t>
      </w:r>
      <w:r w:rsidR="003A293B">
        <w:rPr>
          <w:rFonts w:hint="eastAsia"/>
        </w:rPr>
        <w:t>不清楚</w:t>
      </w:r>
      <w:r w:rsidR="003A293B">
        <w:t>。</w:t>
      </w:r>
      <w:r w:rsidR="000A4F8A">
        <w:rPr>
          <w:rFonts w:hint="eastAsia"/>
        </w:rPr>
        <w:t>从</w:t>
      </w:r>
      <w:r w:rsidR="000A4F8A">
        <w:t>分子水平上理解这些问题，将</w:t>
      </w:r>
      <w:r w:rsidR="000A4F8A">
        <w:rPr>
          <w:rFonts w:hint="eastAsia"/>
        </w:rPr>
        <w:t>有助于</w:t>
      </w:r>
      <w:r w:rsidR="000A4F8A">
        <w:t>从根本上</w:t>
      </w:r>
      <w:r w:rsidR="003523DB">
        <w:rPr>
          <w:rFonts w:hint="eastAsia"/>
        </w:rPr>
        <w:t>理论</w:t>
      </w:r>
      <w:r w:rsidR="003523DB">
        <w:t>化</w:t>
      </w:r>
      <w:r w:rsidR="000A4F8A">
        <w:t>、</w:t>
      </w:r>
      <w:r w:rsidR="000A4F8A">
        <w:rPr>
          <w:rFonts w:hint="eastAsia"/>
        </w:rPr>
        <w:t>系统化</w:t>
      </w:r>
      <w:r w:rsidR="000A4F8A">
        <w:t>地</w:t>
      </w:r>
      <w:r w:rsidR="000A2EBE">
        <w:t>解决与</w:t>
      </w:r>
      <w:proofErr w:type="spellStart"/>
      <w:r w:rsidR="000A2EBE">
        <w:t>CpG</w:t>
      </w:r>
      <w:proofErr w:type="spellEnd"/>
      <w:r w:rsidR="000A2EBE">
        <w:t>位点及其</w:t>
      </w:r>
      <w:r w:rsidR="000A2EBE">
        <w:rPr>
          <w:rFonts w:hint="eastAsia"/>
        </w:rPr>
        <w:t>甲基化</w:t>
      </w:r>
      <w:r w:rsidR="00814CD0">
        <w:t>相关的各种生命现象。</w:t>
      </w:r>
    </w:p>
    <w:p w14:paraId="0E53FC2A" w14:textId="3714F683" w:rsidR="00706955" w:rsidRDefault="009A7287" w:rsidP="009A7287">
      <w:pPr>
        <w:pStyle w:val="ListParagraph"/>
        <w:numPr>
          <w:ilvl w:val="1"/>
          <w:numId w:val="1"/>
        </w:numPr>
      </w:pPr>
      <w:r>
        <w:t>随着生物的进化</w:t>
      </w:r>
      <w:r>
        <w:t>DNA</w:t>
      </w:r>
      <w:r>
        <w:rPr>
          <w:rFonts w:hint="eastAsia"/>
        </w:rPr>
        <w:t>中</w:t>
      </w:r>
      <w:proofErr w:type="spellStart"/>
      <w:r>
        <w:t>CpG</w:t>
      </w:r>
      <w:proofErr w:type="spellEnd"/>
      <w:r>
        <w:t>分布存在着明显的分布对称性破缺的现象</w:t>
      </w:r>
    </w:p>
    <w:p w14:paraId="0CC8D451" w14:textId="1862B098" w:rsidR="009A7287" w:rsidRDefault="009A7287" w:rsidP="009A7287">
      <w:pPr>
        <w:pStyle w:val="ListParagraph"/>
        <w:numPr>
          <w:ilvl w:val="1"/>
          <w:numId w:val="1"/>
        </w:numPr>
      </w:pPr>
      <w:r>
        <w:t>DNA</w:t>
      </w:r>
      <w:r>
        <w:t>中</w:t>
      </w:r>
      <w:proofErr w:type="spellStart"/>
      <w:r>
        <w:t>CpG</w:t>
      </w:r>
      <w:proofErr w:type="spellEnd"/>
      <w:r>
        <w:t>分布与</w:t>
      </w:r>
      <w:r w:rsidR="004C3BA6">
        <w:t>其</w:t>
      </w:r>
      <w:r>
        <w:t>甲基化有着明显的信息对称性现象</w:t>
      </w:r>
    </w:p>
    <w:p w14:paraId="3135D3A2" w14:textId="278F8F6E" w:rsidR="007764CC" w:rsidRDefault="007764CC" w:rsidP="009A7287">
      <w:pPr>
        <w:pStyle w:val="ListParagraph"/>
        <w:numPr>
          <w:ilvl w:val="1"/>
          <w:numId w:val="1"/>
        </w:numPr>
      </w:pPr>
      <w:r>
        <w:t>对称性及对称性</w:t>
      </w:r>
      <w:r>
        <w:rPr>
          <w:rFonts w:hint="eastAsia"/>
        </w:rPr>
        <w:t>破缺跟</w:t>
      </w:r>
      <w:r>
        <w:t>体系能量的变化密切相关</w:t>
      </w:r>
    </w:p>
    <w:p w14:paraId="61D52A56" w14:textId="12CF38BE" w:rsidR="008E70EF" w:rsidRDefault="008E70EF" w:rsidP="008E70EF">
      <w:pPr>
        <w:pStyle w:val="ListParagraph"/>
        <w:ind w:left="360"/>
      </w:pPr>
      <w:r>
        <w:t>对称性破缺</w:t>
      </w:r>
      <w:r>
        <w:rPr>
          <w:rFonts w:hint="eastAsia"/>
        </w:rPr>
        <w:t>是</w:t>
      </w:r>
      <w:r>
        <w:t>自然体系</w:t>
      </w:r>
      <w:r w:rsidR="004753C0">
        <w:t>寻求</w:t>
      </w:r>
      <w:r w:rsidR="00D8349E">
        <w:t>能量最小化</w:t>
      </w:r>
      <w:r w:rsidR="006C695E">
        <w:t>变化</w:t>
      </w:r>
      <w:r w:rsidR="00D8349E">
        <w:t>的结果。</w:t>
      </w:r>
    </w:p>
    <w:p w14:paraId="310D5289" w14:textId="23F857CF" w:rsidR="000B3172" w:rsidRDefault="000B3172" w:rsidP="009A7287">
      <w:pPr>
        <w:pStyle w:val="ListParagraph"/>
        <w:numPr>
          <w:ilvl w:val="1"/>
          <w:numId w:val="1"/>
        </w:numPr>
      </w:pPr>
      <w:r>
        <w:t>分子动力学</w:t>
      </w:r>
      <w:r>
        <w:rPr>
          <w:rFonts w:hint="eastAsia"/>
        </w:rPr>
        <w:t>及量子</w:t>
      </w:r>
      <w:r w:rsidR="00430376">
        <w:t>化学计算</w:t>
      </w:r>
      <w:r w:rsidR="00430376">
        <w:rPr>
          <w:rFonts w:hint="eastAsia"/>
        </w:rPr>
        <w:t>是</w:t>
      </w:r>
      <w:r w:rsidR="00A72DFD">
        <w:rPr>
          <w:rFonts w:hint="eastAsia"/>
        </w:rPr>
        <w:t>核酸</w:t>
      </w:r>
      <w:r w:rsidR="00A72DFD">
        <w:t>及蛋白质</w:t>
      </w:r>
      <w:r w:rsidR="00B6786C">
        <w:t>分子体系</w:t>
      </w:r>
      <w:r w:rsidR="00430376">
        <w:t>能量变化的一个</w:t>
      </w:r>
      <w:r w:rsidR="00430376">
        <w:rPr>
          <w:rFonts w:hint="eastAsia"/>
        </w:rPr>
        <w:t>重要</w:t>
      </w:r>
      <w:r w:rsidR="000C2856">
        <w:t>研究</w:t>
      </w:r>
      <w:r w:rsidR="00430376">
        <w:t>手段</w:t>
      </w:r>
    </w:p>
    <w:p w14:paraId="4100923F" w14:textId="77777777" w:rsidR="001F53D8" w:rsidRDefault="001F53D8" w:rsidP="001F53D8">
      <w:pPr>
        <w:pStyle w:val="ListParagraph"/>
        <w:ind w:left="360"/>
      </w:pPr>
      <w:bookmarkStart w:id="0" w:name="_GoBack"/>
      <w:bookmarkEnd w:id="0"/>
    </w:p>
    <w:p w14:paraId="497E498D" w14:textId="44BB170A" w:rsidR="007764CC" w:rsidRDefault="007764CC" w:rsidP="009A7287">
      <w:pPr>
        <w:pStyle w:val="ListParagraph"/>
        <w:numPr>
          <w:ilvl w:val="1"/>
          <w:numId w:val="1"/>
        </w:numPr>
      </w:pPr>
      <w:r>
        <w:lastRenderedPageBreak/>
        <w:t>我们</w:t>
      </w:r>
      <w:r>
        <w:rPr>
          <w:rFonts w:hint="eastAsia"/>
        </w:rPr>
        <w:t>将</w:t>
      </w:r>
      <w:r>
        <w:t>结合分子动力学</w:t>
      </w:r>
      <w:r w:rsidR="00C34B8D">
        <w:t>、</w:t>
      </w:r>
      <w:r w:rsidR="00930B5F">
        <w:t>量子化学计算</w:t>
      </w:r>
      <w:r w:rsidR="00BB1283">
        <w:t>以及</w:t>
      </w:r>
      <w:r>
        <w:t>二代测序基因大数据分析研究</w:t>
      </w:r>
      <w:r>
        <w:t>DNA</w:t>
      </w:r>
      <w:r>
        <w:t>中</w:t>
      </w:r>
      <w:proofErr w:type="spellStart"/>
      <w:r>
        <w:t>CpG</w:t>
      </w:r>
      <w:proofErr w:type="spellEnd"/>
      <w:r>
        <w:t>分布及</w:t>
      </w:r>
      <w:r w:rsidR="00B008E4">
        <w:t>其</w:t>
      </w:r>
      <w:r>
        <w:t>甲基化的对称性及对称性破缺的</w:t>
      </w:r>
      <w:r w:rsidR="003518A2">
        <w:t>分子</w:t>
      </w:r>
      <w:r>
        <w:t>机理</w:t>
      </w:r>
    </w:p>
    <w:p w14:paraId="5F61C928" w14:textId="77777777" w:rsidR="00F50743" w:rsidRDefault="00F50743" w:rsidP="00F50743"/>
    <w:p w14:paraId="5C076DB1" w14:textId="6101CAD8" w:rsidR="00F50743" w:rsidRDefault="00F50743" w:rsidP="00F50743">
      <w:r>
        <w:t>参考文献</w:t>
      </w:r>
    </w:p>
    <w:p w14:paraId="072F9397" w14:textId="77777777" w:rsidR="006E4A39" w:rsidRDefault="006E4A39" w:rsidP="00F50743"/>
    <w:p w14:paraId="7F8365DF" w14:textId="77777777" w:rsidR="002403A0" w:rsidRPr="002403A0" w:rsidRDefault="00D228DD" w:rsidP="002403A0">
      <w:pPr>
        <w:pStyle w:val="Bibliography"/>
        <w:rPr>
          <w:rFonts w:ascii="Calibri"/>
        </w:rPr>
      </w:pPr>
      <w:r>
        <w:fldChar w:fldCharType="begin"/>
      </w:r>
      <w:r w:rsidR="004A32F0">
        <w:instrText xml:space="preserve"> ADDIN ZOTERO_BIBL {"custom":[]} CSL_BIBLIOGRAPHY </w:instrText>
      </w:r>
      <w:r>
        <w:fldChar w:fldCharType="separate"/>
      </w:r>
      <w:r w:rsidR="002403A0" w:rsidRPr="002403A0">
        <w:rPr>
          <w:rFonts w:ascii="Calibri"/>
        </w:rPr>
        <w:t xml:space="preserve">1. Anderson PW: </w:t>
      </w:r>
      <w:r w:rsidR="002403A0" w:rsidRPr="002403A0">
        <w:rPr>
          <w:rFonts w:ascii="Calibri"/>
          <w:b/>
          <w:bCs/>
        </w:rPr>
        <w:t>More is different</w:t>
      </w:r>
      <w:r w:rsidR="002403A0" w:rsidRPr="002403A0">
        <w:rPr>
          <w:rFonts w:ascii="Calibri"/>
        </w:rPr>
        <w:t xml:space="preserve">. </w:t>
      </w:r>
      <w:r w:rsidR="002403A0" w:rsidRPr="002403A0">
        <w:rPr>
          <w:rFonts w:ascii="Calibri"/>
          <w:i/>
          <w:iCs/>
        </w:rPr>
        <w:t>Science</w:t>
      </w:r>
      <w:r w:rsidR="002403A0" w:rsidRPr="002403A0">
        <w:rPr>
          <w:rFonts w:ascii="Calibri"/>
        </w:rPr>
        <w:t xml:space="preserve"> 1972, </w:t>
      </w:r>
      <w:r w:rsidR="002403A0" w:rsidRPr="002403A0">
        <w:rPr>
          <w:rFonts w:ascii="Calibri"/>
          <w:b/>
          <w:bCs/>
        </w:rPr>
        <w:t>177</w:t>
      </w:r>
      <w:r w:rsidR="002403A0" w:rsidRPr="002403A0">
        <w:rPr>
          <w:rFonts w:ascii="Calibri"/>
        </w:rPr>
        <w:t>:393–396.</w:t>
      </w:r>
    </w:p>
    <w:p w14:paraId="6EE81445" w14:textId="77777777" w:rsidR="002403A0" w:rsidRPr="002403A0" w:rsidRDefault="002403A0" w:rsidP="002403A0">
      <w:pPr>
        <w:pStyle w:val="Bibliography"/>
        <w:rPr>
          <w:rFonts w:ascii="Calibri"/>
        </w:rPr>
      </w:pPr>
      <w:r w:rsidRPr="002403A0">
        <w:rPr>
          <w:rFonts w:ascii="Calibri"/>
        </w:rPr>
        <w:t xml:space="preserve">2. Li R, Bowerman B: </w:t>
      </w:r>
      <w:r w:rsidRPr="002403A0">
        <w:rPr>
          <w:rFonts w:ascii="Calibri"/>
          <w:b/>
          <w:bCs/>
        </w:rPr>
        <w:t>Symmetry Breaking in Biology</w:t>
      </w:r>
      <w:r w:rsidRPr="002403A0">
        <w:rPr>
          <w:rFonts w:ascii="Calibri"/>
        </w:rPr>
        <w:t xml:space="preserve">. </w:t>
      </w:r>
      <w:r w:rsidRPr="002403A0">
        <w:rPr>
          <w:rFonts w:ascii="Calibri"/>
          <w:i/>
          <w:iCs/>
        </w:rPr>
        <w:t>Cold Spring Harb Perspect Biol</w:t>
      </w:r>
      <w:r w:rsidRPr="002403A0">
        <w:rPr>
          <w:rFonts w:ascii="Calibri"/>
        </w:rPr>
        <w:t xml:space="preserve"> 2010, </w:t>
      </w:r>
      <w:r w:rsidRPr="002403A0">
        <w:rPr>
          <w:rFonts w:ascii="Calibri"/>
          <w:b/>
          <w:bCs/>
        </w:rPr>
        <w:t>2</w:t>
      </w:r>
      <w:r w:rsidRPr="002403A0">
        <w:rPr>
          <w:rFonts w:ascii="Calibri"/>
        </w:rPr>
        <w:t>.</w:t>
      </w:r>
    </w:p>
    <w:p w14:paraId="585E896F" w14:textId="77777777" w:rsidR="002403A0" w:rsidRPr="002403A0" w:rsidRDefault="002403A0" w:rsidP="002403A0">
      <w:pPr>
        <w:pStyle w:val="Bibliography"/>
        <w:rPr>
          <w:rFonts w:ascii="Calibri"/>
        </w:rPr>
      </w:pPr>
      <w:r w:rsidRPr="002403A0">
        <w:rPr>
          <w:rFonts w:ascii="Calibri"/>
        </w:rPr>
        <w:t xml:space="preserve">3. Palmer AR: </w:t>
      </w:r>
      <w:r w:rsidRPr="002403A0">
        <w:rPr>
          <w:rFonts w:ascii="Calibri"/>
          <w:b/>
          <w:bCs/>
        </w:rPr>
        <w:t>Symmetry Breaking and the Evolution of Development</w:t>
      </w:r>
      <w:r w:rsidRPr="002403A0">
        <w:rPr>
          <w:rFonts w:ascii="Calibri"/>
        </w:rPr>
        <w:t xml:space="preserve">. </w:t>
      </w:r>
      <w:r w:rsidRPr="002403A0">
        <w:rPr>
          <w:rFonts w:ascii="Calibri"/>
          <w:i/>
          <w:iCs/>
        </w:rPr>
        <w:t>Science</w:t>
      </w:r>
      <w:r w:rsidRPr="002403A0">
        <w:rPr>
          <w:rFonts w:ascii="Calibri"/>
        </w:rPr>
        <w:t xml:space="preserve"> 2004, </w:t>
      </w:r>
      <w:r w:rsidRPr="002403A0">
        <w:rPr>
          <w:rFonts w:ascii="Calibri"/>
          <w:b/>
          <w:bCs/>
        </w:rPr>
        <w:t>306</w:t>
      </w:r>
      <w:r w:rsidRPr="002403A0">
        <w:rPr>
          <w:rFonts w:ascii="Calibri"/>
        </w:rPr>
        <w:t>:828–833.</w:t>
      </w:r>
    </w:p>
    <w:p w14:paraId="3DCB5698" w14:textId="77777777" w:rsidR="002403A0" w:rsidRPr="002403A0" w:rsidRDefault="002403A0" w:rsidP="002403A0">
      <w:pPr>
        <w:pStyle w:val="Bibliography"/>
        <w:rPr>
          <w:rFonts w:ascii="Calibri"/>
        </w:rPr>
      </w:pPr>
      <w:r w:rsidRPr="002403A0">
        <w:rPr>
          <w:rFonts w:ascii="Calibri"/>
        </w:rPr>
        <w:t xml:space="preserve">4. Dworkin J: </w:t>
      </w:r>
      <w:r w:rsidRPr="002403A0">
        <w:rPr>
          <w:rFonts w:ascii="Calibri"/>
          <w:b/>
          <w:bCs/>
        </w:rPr>
        <w:t>Cellular Polarity in Prokaryotic Organisms</w:t>
      </w:r>
      <w:r w:rsidRPr="002403A0">
        <w:rPr>
          <w:rFonts w:ascii="Calibri"/>
        </w:rPr>
        <w:t xml:space="preserve">. </w:t>
      </w:r>
      <w:r w:rsidRPr="002403A0">
        <w:rPr>
          <w:rFonts w:ascii="Calibri"/>
          <w:i/>
          <w:iCs/>
        </w:rPr>
        <w:t>Cold Spring Harb Perspect Biol</w:t>
      </w:r>
      <w:r w:rsidRPr="002403A0">
        <w:rPr>
          <w:rFonts w:ascii="Calibri"/>
        </w:rPr>
        <w:t xml:space="preserve"> 2009, </w:t>
      </w:r>
      <w:r w:rsidRPr="002403A0">
        <w:rPr>
          <w:rFonts w:ascii="Calibri"/>
          <w:b/>
          <w:bCs/>
        </w:rPr>
        <w:t>1</w:t>
      </w:r>
      <w:r w:rsidRPr="002403A0">
        <w:rPr>
          <w:rFonts w:ascii="Calibri"/>
        </w:rPr>
        <w:t>.</w:t>
      </w:r>
    </w:p>
    <w:p w14:paraId="3CC5D4F1" w14:textId="77777777" w:rsidR="002403A0" w:rsidRPr="002403A0" w:rsidRDefault="002403A0" w:rsidP="002403A0">
      <w:pPr>
        <w:pStyle w:val="Bibliography"/>
        <w:rPr>
          <w:rFonts w:ascii="Calibri"/>
        </w:rPr>
      </w:pPr>
      <w:r w:rsidRPr="002403A0">
        <w:rPr>
          <w:rFonts w:ascii="Calibri"/>
        </w:rPr>
        <w:t xml:space="preserve">5. Chang F, Martin SG: </w:t>
      </w:r>
      <w:r w:rsidRPr="002403A0">
        <w:rPr>
          <w:rFonts w:ascii="Calibri"/>
          <w:b/>
          <w:bCs/>
        </w:rPr>
        <w:t>Shaping Fission Yeast with Microtubules</w:t>
      </w:r>
      <w:r w:rsidRPr="002403A0">
        <w:rPr>
          <w:rFonts w:ascii="Calibri"/>
        </w:rPr>
        <w:t xml:space="preserve">. </w:t>
      </w:r>
      <w:r w:rsidRPr="002403A0">
        <w:rPr>
          <w:rFonts w:ascii="Calibri"/>
          <w:i/>
          <w:iCs/>
        </w:rPr>
        <w:t>Cold Spring Harb Perspect Biol</w:t>
      </w:r>
      <w:r w:rsidRPr="002403A0">
        <w:rPr>
          <w:rFonts w:ascii="Calibri"/>
        </w:rPr>
        <w:t xml:space="preserve"> 2009, </w:t>
      </w:r>
      <w:r w:rsidRPr="002403A0">
        <w:rPr>
          <w:rFonts w:ascii="Calibri"/>
          <w:b/>
          <w:bCs/>
        </w:rPr>
        <w:t>1</w:t>
      </w:r>
      <w:r w:rsidRPr="002403A0">
        <w:rPr>
          <w:rFonts w:ascii="Calibri"/>
        </w:rPr>
        <w:t>.</w:t>
      </w:r>
    </w:p>
    <w:p w14:paraId="0C870595" w14:textId="77777777" w:rsidR="002403A0" w:rsidRPr="002403A0" w:rsidRDefault="002403A0" w:rsidP="002403A0">
      <w:pPr>
        <w:pStyle w:val="Bibliography"/>
        <w:rPr>
          <w:rFonts w:ascii="Calibri"/>
        </w:rPr>
      </w:pPr>
      <w:r w:rsidRPr="002403A0">
        <w:rPr>
          <w:rFonts w:ascii="Calibri"/>
        </w:rPr>
        <w:t xml:space="preserve">6. Slaughter BD, Smith SE, Li R: </w:t>
      </w:r>
      <w:r w:rsidRPr="002403A0">
        <w:rPr>
          <w:rFonts w:ascii="Calibri"/>
          <w:b/>
          <w:bCs/>
        </w:rPr>
        <w:t>Symmetry Breaking in the Life Cycle of the Budding Yeast</w:t>
      </w:r>
      <w:r w:rsidRPr="002403A0">
        <w:rPr>
          <w:rFonts w:ascii="Calibri"/>
        </w:rPr>
        <w:t xml:space="preserve">. </w:t>
      </w:r>
      <w:r w:rsidRPr="002403A0">
        <w:rPr>
          <w:rFonts w:ascii="Calibri"/>
          <w:i/>
          <w:iCs/>
        </w:rPr>
        <w:t>Cold Spring Harb Perspect Biol</w:t>
      </w:r>
      <w:r w:rsidRPr="002403A0">
        <w:rPr>
          <w:rFonts w:ascii="Calibri"/>
        </w:rPr>
        <w:t xml:space="preserve"> 2009, </w:t>
      </w:r>
      <w:r w:rsidRPr="002403A0">
        <w:rPr>
          <w:rFonts w:ascii="Calibri"/>
          <w:b/>
          <w:bCs/>
        </w:rPr>
        <w:t>1</w:t>
      </w:r>
      <w:r w:rsidRPr="002403A0">
        <w:rPr>
          <w:rFonts w:ascii="Calibri"/>
        </w:rPr>
        <w:t>.</w:t>
      </w:r>
    </w:p>
    <w:p w14:paraId="32EDEB6A" w14:textId="77777777" w:rsidR="002403A0" w:rsidRPr="002403A0" w:rsidRDefault="002403A0" w:rsidP="002403A0">
      <w:pPr>
        <w:pStyle w:val="Bibliography"/>
        <w:rPr>
          <w:rFonts w:ascii="Calibri"/>
        </w:rPr>
      </w:pPr>
      <w:r w:rsidRPr="002403A0">
        <w:rPr>
          <w:rFonts w:ascii="Calibri"/>
        </w:rPr>
        <w:t xml:space="preserve">7. Tahirovic S, Bradke F: </w:t>
      </w:r>
      <w:r w:rsidRPr="002403A0">
        <w:rPr>
          <w:rFonts w:ascii="Calibri"/>
          <w:b/>
          <w:bCs/>
        </w:rPr>
        <w:t>Neuronal Polarity</w:t>
      </w:r>
      <w:r w:rsidRPr="002403A0">
        <w:rPr>
          <w:rFonts w:ascii="Calibri"/>
        </w:rPr>
        <w:t xml:space="preserve">. </w:t>
      </w:r>
      <w:r w:rsidRPr="002403A0">
        <w:rPr>
          <w:rFonts w:ascii="Calibri"/>
          <w:i/>
          <w:iCs/>
        </w:rPr>
        <w:t>Cold Spring Harb Perspect Biol</w:t>
      </w:r>
      <w:r w:rsidRPr="002403A0">
        <w:rPr>
          <w:rFonts w:ascii="Calibri"/>
        </w:rPr>
        <w:t xml:space="preserve"> 2009, </w:t>
      </w:r>
      <w:r w:rsidRPr="002403A0">
        <w:rPr>
          <w:rFonts w:ascii="Calibri"/>
          <w:b/>
          <w:bCs/>
        </w:rPr>
        <w:t>1</w:t>
      </w:r>
      <w:r w:rsidRPr="002403A0">
        <w:rPr>
          <w:rFonts w:ascii="Calibri"/>
        </w:rPr>
        <w:t>.</w:t>
      </w:r>
    </w:p>
    <w:p w14:paraId="6C6D0384" w14:textId="77777777" w:rsidR="002403A0" w:rsidRPr="002403A0" w:rsidRDefault="002403A0" w:rsidP="002403A0">
      <w:pPr>
        <w:pStyle w:val="Bibliography"/>
        <w:rPr>
          <w:rFonts w:ascii="Calibri"/>
        </w:rPr>
      </w:pPr>
      <w:r w:rsidRPr="002403A0">
        <w:rPr>
          <w:rFonts w:ascii="Calibri"/>
        </w:rPr>
        <w:t xml:space="preserve">8. Peaucelle A, Wightman R, Höfte H: </w:t>
      </w:r>
      <w:r w:rsidRPr="002403A0">
        <w:rPr>
          <w:rFonts w:ascii="Calibri"/>
          <w:b/>
          <w:bCs/>
        </w:rPr>
        <w:t>The Control of Growth Symmetry Breaking in the Arabidopsis Hypocotyl</w:t>
      </w:r>
      <w:r w:rsidRPr="002403A0">
        <w:rPr>
          <w:rFonts w:ascii="Calibri"/>
        </w:rPr>
        <w:t xml:space="preserve">. </w:t>
      </w:r>
      <w:r w:rsidRPr="002403A0">
        <w:rPr>
          <w:rFonts w:ascii="Calibri"/>
          <w:i/>
          <w:iCs/>
        </w:rPr>
        <w:t>Curr Biol</w:t>
      </w:r>
      <w:r w:rsidRPr="002403A0">
        <w:rPr>
          <w:rFonts w:ascii="Calibri"/>
        </w:rPr>
        <w:t xml:space="preserve"> 2015, </w:t>
      </w:r>
      <w:r w:rsidRPr="002403A0">
        <w:rPr>
          <w:rFonts w:ascii="Calibri"/>
          <w:b/>
          <w:bCs/>
        </w:rPr>
        <w:t>25</w:t>
      </w:r>
      <w:r w:rsidRPr="002403A0">
        <w:rPr>
          <w:rFonts w:ascii="Calibri"/>
        </w:rPr>
        <w:t>:1746–1752.</w:t>
      </w:r>
    </w:p>
    <w:p w14:paraId="2D2CE022" w14:textId="77777777" w:rsidR="002403A0" w:rsidRPr="002403A0" w:rsidRDefault="002403A0" w:rsidP="002403A0">
      <w:pPr>
        <w:pStyle w:val="Bibliography"/>
        <w:rPr>
          <w:rFonts w:ascii="Calibri"/>
        </w:rPr>
      </w:pPr>
      <w:r w:rsidRPr="002403A0">
        <w:rPr>
          <w:rFonts w:ascii="Calibri"/>
        </w:rPr>
        <w:t xml:space="preserve">9. Zimand M: </w:t>
      </w:r>
      <w:r w:rsidRPr="002403A0">
        <w:rPr>
          <w:rFonts w:ascii="Calibri"/>
          <w:b/>
          <w:bCs/>
        </w:rPr>
        <w:t>Symmetry of Information: A Closer Look</w:t>
      </w:r>
      <w:r w:rsidRPr="002403A0">
        <w:rPr>
          <w:rFonts w:ascii="Calibri"/>
        </w:rPr>
        <w:t xml:space="preserve">. </w:t>
      </w:r>
      <w:r w:rsidRPr="002403A0">
        <w:rPr>
          <w:rFonts w:ascii="Calibri"/>
          <w:i/>
          <w:iCs/>
        </w:rPr>
        <w:t>ArXiv12065184 Cs Math</w:t>
      </w:r>
      <w:r w:rsidRPr="002403A0">
        <w:rPr>
          <w:rFonts w:ascii="Calibri"/>
        </w:rPr>
        <w:t xml:space="preserve"> 2012.</w:t>
      </w:r>
    </w:p>
    <w:p w14:paraId="2D9F3186" w14:textId="77777777" w:rsidR="002403A0" w:rsidRPr="002403A0" w:rsidRDefault="002403A0" w:rsidP="002403A0">
      <w:pPr>
        <w:pStyle w:val="Bibliography"/>
        <w:rPr>
          <w:rFonts w:ascii="Calibri"/>
        </w:rPr>
      </w:pPr>
      <w:r w:rsidRPr="002403A0">
        <w:rPr>
          <w:rFonts w:ascii="Calibri"/>
        </w:rPr>
        <w:t xml:space="preserve">10. Yang S-Y, Yang X-L, Yao L-F, Wang H-B, Sun C-K: </w:t>
      </w:r>
      <w:r w:rsidRPr="002403A0">
        <w:rPr>
          <w:rFonts w:ascii="Calibri"/>
          <w:b/>
          <w:bCs/>
        </w:rPr>
        <w:t>Effect of CpG methylation on DNA binding protein: Molecular dynamics simulations of the homeodomain PITX2 bound to the methylated DNA</w:t>
      </w:r>
      <w:r w:rsidRPr="002403A0">
        <w:rPr>
          <w:rFonts w:ascii="Calibri"/>
        </w:rPr>
        <w:t xml:space="preserve">. </w:t>
      </w:r>
      <w:r w:rsidRPr="002403A0">
        <w:rPr>
          <w:rFonts w:ascii="Calibri"/>
          <w:i/>
          <w:iCs/>
        </w:rPr>
        <w:t>J Mol Graph Model</w:t>
      </w:r>
      <w:r w:rsidRPr="002403A0">
        <w:rPr>
          <w:rFonts w:ascii="Calibri"/>
        </w:rPr>
        <w:t xml:space="preserve"> 2011, </w:t>
      </w:r>
      <w:r w:rsidRPr="002403A0">
        <w:rPr>
          <w:rFonts w:ascii="Calibri"/>
          <w:b/>
          <w:bCs/>
        </w:rPr>
        <w:t>29</w:t>
      </w:r>
      <w:r w:rsidRPr="002403A0">
        <w:rPr>
          <w:rFonts w:ascii="Calibri"/>
        </w:rPr>
        <w:t>:920–927.</w:t>
      </w:r>
    </w:p>
    <w:p w14:paraId="7532690E" w14:textId="4C69FA93" w:rsidR="0049041D" w:rsidRDefault="00D228DD" w:rsidP="00F50743">
      <w:r>
        <w:fldChar w:fldCharType="end"/>
      </w:r>
    </w:p>
    <w:sectPr w:rsidR="0049041D" w:rsidSect="00F2771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6EC48" w14:textId="77777777" w:rsidR="004F3923" w:rsidRDefault="004F3923" w:rsidP="006F243E">
      <w:r>
        <w:separator/>
      </w:r>
    </w:p>
  </w:endnote>
  <w:endnote w:type="continuationSeparator" w:id="0">
    <w:p w14:paraId="2CE82BF5" w14:textId="77777777" w:rsidR="004F3923" w:rsidRDefault="004F3923" w:rsidP="006F2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F67910" w14:textId="77777777" w:rsidR="004F3923" w:rsidRDefault="004F3923" w:rsidP="006F243E">
      <w:r>
        <w:separator/>
      </w:r>
    </w:p>
  </w:footnote>
  <w:footnote w:type="continuationSeparator" w:id="0">
    <w:p w14:paraId="75F7DB6E" w14:textId="77777777" w:rsidR="004F3923" w:rsidRDefault="004F3923" w:rsidP="006F24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04182"/>
    <w:multiLevelType w:val="multilevel"/>
    <w:tmpl w:val="BE0A27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A0E"/>
    <w:rsid w:val="000041A0"/>
    <w:rsid w:val="0000568E"/>
    <w:rsid w:val="0005012B"/>
    <w:rsid w:val="00057850"/>
    <w:rsid w:val="0006181D"/>
    <w:rsid w:val="00070364"/>
    <w:rsid w:val="00075B04"/>
    <w:rsid w:val="000A2EBE"/>
    <w:rsid w:val="000A4F8A"/>
    <w:rsid w:val="000A5EE1"/>
    <w:rsid w:val="000B3172"/>
    <w:rsid w:val="000C2856"/>
    <w:rsid w:val="000E0949"/>
    <w:rsid w:val="000F2A58"/>
    <w:rsid w:val="000F7B6E"/>
    <w:rsid w:val="00112DC5"/>
    <w:rsid w:val="00135B6C"/>
    <w:rsid w:val="001406B1"/>
    <w:rsid w:val="00155E0B"/>
    <w:rsid w:val="00166156"/>
    <w:rsid w:val="00176E54"/>
    <w:rsid w:val="00181848"/>
    <w:rsid w:val="001C1D42"/>
    <w:rsid w:val="001D6DBD"/>
    <w:rsid w:val="001D7BBE"/>
    <w:rsid w:val="001E770B"/>
    <w:rsid w:val="001F4E88"/>
    <w:rsid w:val="001F53D8"/>
    <w:rsid w:val="00202EBC"/>
    <w:rsid w:val="00212532"/>
    <w:rsid w:val="00214C40"/>
    <w:rsid w:val="00227280"/>
    <w:rsid w:val="0023605C"/>
    <w:rsid w:val="002403A0"/>
    <w:rsid w:val="002540A4"/>
    <w:rsid w:val="0027253B"/>
    <w:rsid w:val="00273080"/>
    <w:rsid w:val="00294ECE"/>
    <w:rsid w:val="002A2A05"/>
    <w:rsid w:val="002B7135"/>
    <w:rsid w:val="002C6780"/>
    <w:rsid w:val="002E0DEB"/>
    <w:rsid w:val="002F0336"/>
    <w:rsid w:val="002F4331"/>
    <w:rsid w:val="0030210C"/>
    <w:rsid w:val="003134D2"/>
    <w:rsid w:val="00326510"/>
    <w:rsid w:val="00332D30"/>
    <w:rsid w:val="003343A8"/>
    <w:rsid w:val="003518A2"/>
    <w:rsid w:val="003523DB"/>
    <w:rsid w:val="003530D8"/>
    <w:rsid w:val="00377364"/>
    <w:rsid w:val="00391D2F"/>
    <w:rsid w:val="00395F7B"/>
    <w:rsid w:val="003A293B"/>
    <w:rsid w:val="003A603F"/>
    <w:rsid w:val="003C33C8"/>
    <w:rsid w:val="003C50BE"/>
    <w:rsid w:val="003D713A"/>
    <w:rsid w:val="003E0FCB"/>
    <w:rsid w:val="003E1C68"/>
    <w:rsid w:val="003F2388"/>
    <w:rsid w:val="00430376"/>
    <w:rsid w:val="00444D11"/>
    <w:rsid w:val="004458F0"/>
    <w:rsid w:val="00474F49"/>
    <w:rsid w:val="004753C0"/>
    <w:rsid w:val="0049041D"/>
    <w:rsid w:val="00497B2C"/>
    <w:rsid w:val="004A173A"/>
    <w:rsid w:val="004A32F0"/>
    <w:rsid w:val="004A70C3"/>
    <w:rsid w:val="004B740F"/>
    <w:rsid w:val="004C3BA6"/>
    <w:rsid w:val="004F3923"/>
    <w:rsid w:val="004F57F4"/>
    <w:rsid w:val="005024B1"/>
    <w:rsid w:val="005065C8"/>
    <w:rsid w:val="005148CE"/>
    <w:rsid w:val="0051506F"/>
    <w:rsid w:val="00527B86"/>
    <w:rsid w:val="00562353"/>
    <w:rsid w:val="00577F08"/>
    <w:rsid w:val="0058053B"/>
    <w:rsid w:val="005939A0"/>
    <w:rsid w:val="005D4746"/>
    <w:rsid w:val="005F06DE"/>
    <w:rsid w:val="005F35C9"/>
    <w:rsid w:val="006004F2"/>
    <w:rsid w:val="006018EB"/>
    <w:rsid w:val="00606B4F"/>
    <w:rsid w:val="0061699C"/>
    <w:rsid w:val="006238B0"/>
    <w:rsid w:val="0065008D"/>
    <w:rsid w:val="00656969"/>
    <w:rsid w:val="00692390"/>
    <w:rsid w:val="006C695E"/>
    <w:rsid w:val="006D26E0"/>
    <w:rsid w:val="006D3B24"/>
    <w:rsid w:val="006D3F3A"/>
    <w:rsid w:val="006E24E5"/>
    <w:rsid w:val="006E311E"/>
    <w:rsid w:val="006E4A39"/>
    <w:rsid w:val="006F243E"/>
    <w:rsid w:val="00700A77"/>
    <w:rsid w:val="0070112E"/>
    <w:rsid w:val="00703BA4"/>
    <w:rsid w:val="00704453"/>
    <w:rsid w:val="00706955"/>
    <w:rsid w:val="00711A45"/>
    <w:rsid w:val="00713C47"/>
    <w:rsid w:val="00725B7C"/>
    <w:rsid w:val="007301A5"/>
    <w:rsid w:val="00742ED5"/>
    <w:rsid w:val="007445DE"/>
    <w:rsid w:val="007541C6"/>
    <w:rsid w:val="00760F07"/>
    <w:rsid w:val="00761C8E"/>
    <w:rsid w:val="007726D9"/>
    <w:rsid w:val="007764CC"/>
    <w:rsid w:val="007847E4"/>
    <w:rsid w:val="00791C15"/>
    <w:rsid w:val="007A3E0B"/>
    <w:rsid w:val="007A4899"/>
    <w:rsid w:val="007B3637"/>
    <w:rsid w:val="007C1C56"/>
    <w:rsid w:val="007C256A"/>
    <w:rsid w:val="007C5039"/>
    <w:rsid w:val="007D21BB"/>
    <w:rsid w:val="007D2E5D"/>
    <w:rsid w:val="007F09A7"/>
    <w:rsid w:val="007F7D3B"/>
    <w:rsid w:val="00801C46"/>
    <w:rsid w:val="0081350B"/>
    <w:rsid w:val="00814CD0"/>
    <w:rsid w:val="0083101C"/>
    <w:rsid w:val="00836EBF"/>
    <w:rsid w:val="0084249A"/>
    <w:rsid w:val="008900E1"/>
    <w:rsid w:val="008B43D1"/>
    <w:rsid w:val="008C61DC"/>
    <w:rsid w:val="008D3970"/>
    <w:rsid w:val="008E70EF"/>
    <w:rsid w:val="00906A63"/>
    <w:rsid w:val="00930B5F"/>
    <w:rsid w:val="00961880"/>
    <w:rsid w:val="009A605A"/>
    <w:rsid w:val="009A7287"/>
    <w:rsid w:val="009C7ABD"/>
    <w:rsid w:val="009E4388"/>
    <w:rsid w:val="009E5579"/>
    <w:rsid w:val="009E7FD5"/>
    <w:rsid w:val="00A12D76"/>
    <w:rsid w:val="00A13135"/>
    <w:rsid w:val="00A15FD7"/>
    <w:rsid w:val="00A31F25"/>
    <w:rsid w:val="00A50251"/>
    <w:rsid w:val="00A52C4C"/>
    <w:rsid w:val="00A60856"/>
    <w:rsid w:val="00A72DFD"/>
    <w:rsid w:val="00A74141"/>
    <w:rsid w:val="00A8223A"/>
    <w:rsid w:val="00A853BD"/>
    <w:rsid w:val="00A9451D"/>
    <w:rsid w:val="00AC267A"/>
    <w:rsid w:val="00AC5716"/>
    <w:rsid w:val="00AD49BC"/>
    <w:rsid w:val="00B008E4"/>
    <w:rsid w:val="00B11C06"/>
    <w:rsid w:val="00B130D5"/>
    <w:rsid w:val="00B21250"/>
    <w:rsid w:val="00B42872"/>
    <w:rsid w:val="00B614D4"/>
    <w:rsid w:val="00B61BFB"/>
    <w:rsid w:val="00B6786C"/>
    <w:rsid w:val="00BA31DA"/>
    <w:rsid w:val="00BA74FB"/>
    <w:rsid w:val="00BB1283"/>
    <w:rsid w:val="00BD14A0"/>
    <w:rsid w:val="00BD6E42"/>
    <w:rsid w:val="00BF20C7"/>
    <w:rsid w:val="00C02ABC"/>
    <w:rsid w:val="00C0510C"/>
    <w:rsid w:val="00C20341"/>
    <w:rsid w:val="00C20FB2"/>
    <w:rsid w:val="00C31715"/>
    <w:rsid w:val="00C34B8D"/>
    <w:rsid w:val="00C544C2"/>
    <w:rsid w:val="00C61E27"/>
    <w:rsid w:val="00C716EC"/>
    <w:rsid w:val="00C93039"/>
    <w:rsid w:val="00C971DA"/>
    <w:rsid w:val="00CA7E29"/>
    <w:rsid w:val="00CC16FF"/>
    <w:rsid w:val="00CC4009"/>
    <w:rsid w:val="00CC501D"/>
    <w:rsid w:val="00D021F5"/>
    <w:rsid w:val="00D04838"/>
    <w:rsid w:val="00D064CD"/>
    <w:rsid w:val="00D20917"/>
    <w:rsid w:val="00D228DD"/>
    <w:rsid w:val="00D33AEA"/>
    <w:rsid w:val="00D34A95"/>
    <w:rsid w:val="00D373A6"/>
    <w:rsid w:val="00D4243C"/>
    <w:rsid w:val="00D4600B"/>
    <w:rsid w:val="00D56889"/>
    <w:rsid w:val="00D577E1"/>
    <w:rsid w:val="00D7576D"/>
    <w:rsid w:val="00D7711A"/>
    <w:rsid w:val="00D82A0E"/>
    <w:rsid w:val="00D8349E"/>
    <w:rsid w:val="00D93A8B"/>
    <w:rsid w:val="00DB04D9"/>
    <w:rsid w:val="00DE7C6E"/>
    <w:rsid w:val="00E01E23"/>
    <w:rsid w:val="00E1562C"/>
    <w:rsid w:val="00E15CDB"/>
    <w:rsid w:val="00E30939"/>
    <w:rsid w:val="00E37720"/>
    <w:rsid w:val="00E417B2"/>
    <w:rsid w:val="00E44440"/>
    <w:rsid w:val="00E56822"/>
    <w:rsid w:val="00E7005F"/>
    <w:rsid w:val="00E95C73"/>
    <w:rsid w:val="00EA5796"/>
    <w:rsid w:val="00EC4C15"/>
    <w:rsid w:val="00EE523A"/>
    <w:rsid w:val="00EF47EC"/>
    <w:rsid w:val="00EF6288"/>
    <w:rsid w:val="00F01C2C"/>
    <w:rsid w:val="00F02A01"/>
    <w:rsid w:val="00F05D9E"/>
    <w:rsid w:val="00F247AC"/>
    <w:rsid w:val="00F25464"/>
    <w:rsid w:val="00F2593C"/>
    <w:rsid w:val="00F27718"/>
    <w:rsid w:val="00F31BA4"/>
    <w:rsid w:val="00F33368"/>
    <w:rsid w:val="00F4780B"/>
    <w:rsid w:val="00F50743"/>
    <w:rsid w:val="00F6482A"/>
    <w:rsid w:val="00F76136"/>
    <w:rsid w:val="00F91263"/>
    <w:rsid w:val="00FA1649"/>
    <w:rsid w:val="00FA5FA2"/>
    <w:rsid w:val="00FB2244"/>
    <w:rsid w:val="00FF2C97"/>
    <w:rsid w:val="00FF56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0DBC7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287"/>
    <w:pPr>
      <w:ind w:left="720"/>
      <w:contextualSpacing/>
    </w:pPr>
  </w:style>
  <w:style w:type="paragraph" w:styleId="FootnoteText">
    <w:name w:val="footnote text"/>
    <w:basedOn w:val="Normal"/>
    <w:link w:val="FootnoteTextChar"/>
    <w:uiPriority w:val="99"/>
    <w:unhideWhenUsed/>
    <w:rsid w:val="006F243E"/>
  </w:style>
  <w:style w:type="character" w:customStyle="1" w:styleId="FootnoteTextChar">
    <w:name w:val="Footnote Text Char"/>
    <w:basedOn w:val="DefaultParagraphFont"/>
    <w:link w:val="FootnoteText"/>
    <w:uiPriority w:val="99"/>
    <w:rsid w:val="006F243E"/>
  </w:style>
  <w:style w:type="character" w:styleId="FootnoteReference">
    <w:name w:val="footnote reference"/>
    <w:basedOn w:val="DefaultParagraphFont"/>
    <w:uiPriority w:val="99"/>
    <w:unhideWhenUsed/>
    <w:rsid w:val="006F243E"/>
    <w:rPr>
      <w:vertAlign w:val="superscript"/>
    </w:rPr>
  </w:style>
  <w:style w:type="paragraph" w:styleId="Bibliography">
    <w:name w:val="Bibliography"/>
    <w:basedOn w:val="Normal"/>
    <w:next w:val="Normal"/>
    <w:uiPriority w:val="37"/>
    <w:unhideWhenUsed/>
    <w:rsid w:val="00D228DD"/>
    <w:pPr>
      <w:tabs>
        <w:tab w:val="left" w:pos="260"/>
      </w:tabs>
      <w:spacing w:after="240"/>
    </w:pPr>
  </w:style>
  <w:style w:type="paragraph" w:styleId="Revision">
    <w:name w:val="Revision"/>
    <w:hidden/>
    <w:uiPriority w:val="99"/>
    <w:semiHidden/>
    <w:rsid w:val="00140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15707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2833</Words>
  <Characters>16149</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 Xiaodi</dc:creator>
  <cp:keywords/>
  <dc:description/>
  <cp:lastModifiedBy>Deng Xiaodi</cp:lastModifiedBy>
  <cp:revision>513</cp:revision>
  <dcterms:created xsi:type="dcterms:W3CDTF">2016-02-16T06:32:00Z</dcterms:created>
  <dcterms:modified xsi:type="dcterms:W3CDTF">2016-02-22T01:53:00Z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id="hlCBRcyU"/&gt;&lt;style id="http://www.zotero.org/styles/bmc-cell-biology"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value=""/&gt;&lt;/prefs&gt;&lt;/data&gt;</vt:lpwstr>
  </property>
  <property fmtid="{D5CDD505-2E9C-101B-9397-08002B2CF9AE}" pid="4" name="ZOTERO_BREF_fByPP6Exqj51rSd0XY7dU_1">
    <vt:lpwstr>ZOTERO_ITEM CSL_CITATION {"citationID":"css39ejpr","properties":{"formattedCitation":"(Yang et al., 2011)","plainCitation":"(Yang et al., 2011)"},"citationItems":[{"id":119,"uris":["http://zotero.org/users/2417949/items/6HI2HZH3"],"uri":["http://zotero.or</vt:lpwstr>
  </property>
  <property fmtid="{D5CDD505-2E9C-101B-9397-08002B2CF9AE}" pid="5" name="ZOTERO_BREF_fByPP6Exqj51rSd0XY7dU_2">
    <vt:lpwstr>g/users/2417949/items/6HI2HZH3"],"itemData":{"id":119,"type":"article-journal","title":"Effect of CpG methylation on DNA binding protein: Molecular dynamics simulations of the homeodomain PITX2 bound to the methylated DNA","container-title":"Journal of Mo</vt:lpwstr>
  </property>
  <property fmtid="{D5CDD505-2E9C-101B-9397-08002B2CF9AE}" pid="6" name="ZOTERO_BREF_fByPP6Exqj51rSd0XY7dU_3">
    <vt:lpwstr>lecular Graphics and Modelling","page":"920-927","volume":"29","issue":"7","source":"ScienceDirect","abstract":"A large number of studies have argued that aberrant CpG methylation is associated with some human cancers. One possible mechanism of the cancer</vt:lpwstr>
  </property>
  <property fmtid="{D5CDD505-2E9C-101B-9397-08002B2CF9AE}" pid="7" name="ZOTERO_BREF_fByPP6Exqj51rSd0XY7dU_4">
    <vt:lpwstr> caused by CpG methylation is the gene repression, which is a binding-inhibition of the sequence-specific transcription factors bound to specific DNA-binding sites. Exploring the effects of CpG methylation on the structure and the thermodynamic property o</vt:lpwstr>
  </property>
  <property fmtid="{D5CDD505-2E9C-101B-9397-08002B2CF9AE}" pid="8" name="ZOTERO_BREF_fByPP6Exqj51rSd0XY7dU_5">
    <vt:lpwstr>f DNA-binding transcription factors will help to gain an insight into how CpG methylation affects the repression of gene transcription in cancer.\n\nWe have performed molecular dynamics (MD) simulations and free energy calculations of the protein bound to</vt:lpwstr>
  </property>
  <property fmtid="{D5CDD505-2E9C-101B-9397-08002B2CF9AE}" pid="9" name="ZOTERO_BREF_fByPP6Exqj51rSd0XY7dU_6">
    <vt:lpwstr> the native or the methylated DNA, in which the solution structure of the K50-class homeodomain PITX2 bound to DNA was used as a template. The simulation results indicate that the methylated CpG located at the DNA major groove can enhance the protein–DNA </vt:lpwstr>
  </property>
  <property fmtid="{D5CDD505-2E9C-101B-9397-08002B2CF9AE}" pid="10" name="ZOTERO_BREF_fByPP6Exqj51rSd0XY7dU_7">
    <vt:lpwstr>interactions, and the residue side-chains near the methylated CpG pair appear to have an unusually high affinity with DNA. The structural analysis and calculated energy values demonstrate that the binding-induced structural changes were further encouraged</vt:lpwstr>
  </property>
  <property fmtid="{D5CDD505-2E9C-101B-9397-08002B2CF9AE}" pid="11" name="ZOTERO_BREF_fByPP6Exqj51rSd0XY7dU_8">
    <vt:lpwstr> as the CpG methylation upon the complexation. Moreover, the CpG methylation may reduce the unfavorable effect of the conformational entropy and increase the electrostatic contribution to the binding free energy of DNA–PITX2. The changes in specific bindi</vt:lpwstr>
  </property>
  <property fmtid="{D5CDD505-2E9C-101B-9397-08002B2CF9AE}" pid="12" name="ZOTERO_BREF_fByPP6Exqj51rSd0XY7dU_9">
    <vt:lpwstr>ng sites and the excessive affinity between DNA and protein caused by the CpG methylation could affect the gene transcriptional activity.","DOI":"10.1016/j.jmgm.2011.03.003","ISSN":"1093-3263","shortTitle":"Effect of CpG methylation on DNA binding protein</vt:lpwstr>
  </property>
  <property fmtid="{D5CDD505-2E9C-101B-9397-08002B2CF9AE}" pid="13" name="ZOTERO_BREF_fByPP6Exqj51rSd0XY7dU_10">
    <vt:lpwstr>","journalAbbreviation":"Journal of Molecular Graphics and Modelling","author":[{"family":"Yang","given":"Si-Ya"},{"family":"Yang","given":"Xiao-Li"},{"family":"Yao","given":"Li-Feng"},{"family":"Wang","given":"Hai-Bo"},{"family":"Sun","given":"Chen-Ke"}]</vt:lpwstr>
  </property>
  <property fmtid="{D5CDD505-2E9C-101B-9397-08002B2CF9AE}" pid="14" name="ZOTERO_BREF_fByPP6Exqj51rSd0XY7dU_11">
    <vt:lpwstr>,"issued":{"date-parts":[["2011",6]]}}}],"schema":"https://github.com/citation-style-language/schema/raw/master/csl-citation.json"} </vt:lpwstr>
  </property>
</Properties>
</file>