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SimSun" w:cs="Times New Roman"/>
          <w:b/>
          <w:bCs/>
          <w:sz w:val="28"/>
          <w:szCs w:val="28"/>
        </w:rPr>
        <w:t xml:space="preserve">《会计信息形式质量研究》专著提纲 </w:t>
      </w:r>
    </w:p>
    <w:p>
      <w:pPr>
        <w:spacing w:line="400" w:lineRule="exact"/>
        <w:jc w:val="center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SimSun" w:cs="Times New Roman"/>
          <w:b/>
          <w:bCs/>
          <w:sz w:val="28"/>
          <w:szCs w:val="28"/>
        </w:rPr>
        <w:t>（修改稿+分工安排）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8"/>
          <w:szCs w:val="28"/>
        </w:rPr>
      </w:pPr>
    </w:p>
    <w:p>
      <w:pPr>
        <w:spacing w:line="400" w:lineRule="exact"/>
        <w:rPr>
          <w:rFonts w:ascii="楷体" w:hAnsi="楷体" w:eastAsia="楷体" w:cs="Times New Roman"/>
          <w:b/>
          <w:bCs/>
          <w:sz w:val="28"/>
          <w:szCs w:val="28"/>
        </w:rPr>
      </w:pPr>
      <w:r>
        <w:rPr>
          <w:rFonts w:hint="eastAsia" w:ascii="楷体" w:hAnsi="楷体" w:eastAsia="楷体" w:cs="Times New Roman"/>
          <w:b/>
          <w:bCs/>
          <w:sz w:val="28"/>
          <w:szCs w:val="28"/>
        </w:rPr>
        <w:t>【分工：</w:t>
      </w:r>
      <w:r>
        <w:rPr>
          <w:rFonts w:hint="eastAsia" w:ascii="楷体" w:hAnsi="楷体" w:eastAsia="楷体" w:cs="Times New Roman"/>
          <w:b/>
          <w:bCs/>
          <w:sz w:val="28"/>
          <w:szCs w:val="28"/>
          <w:highlight w:val="yellow"/>
        </w:rPr>
        <w:t>黄色代表西财</w:t>
      </w:r>
      <w:r>
        <w:rPr>
          <w:rFonts w:hint="eastAsia" w:ascii="楷体" w:hAnsi="楷体" w:eastAsia="楷体" w:cs="Times New Roman"/>
          <w:b/>
          <w:bCs/>
          <w:sz w:val="28"/>
          <w:szCs w:val="28"/>
        </w:rPr>
        <w:t>，</w:t>
      </w:r>
      <w:r>
        <w:rPr>
          <w:rFonts w:hint="eastAsia" w:ascii="楷体" w:hAnsi="楷体" w:eastAsia="楷体" w:cs="Times New Roman"/>
          <w:b/>
          <w:bCs/>
          <w:sz w:val="28"/>
          <w:szCs w:val="28"/>
          <w:highlight w:val="cyan"/>
        </w:rPr>
        <w:t>蓝色代表北外</w:t>
      </w:r>
      <w:r>
        <w:rPr>
          <w:rFonts w:hint="eastAsia" w:ascii="楷体" w:hAnsi="楷体" w:eastAsia="楷体" w:cs="Times New Roman"/>
          <w:b/>
          <w:bCs/>
          <w:sz w:val="28"/>
          <w:szCs w:val="28"/>
        </w:rPr>
        <w:t>】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8"/>
          <w:szCs w:val="28"/>
        </w:rPr>
      </w:pP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green"/>
        </w:rPr>
        <w:t>第一章 绪论【待其他部分完成后补充】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第一节 研究背景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第二节 研究意义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第三节 研究方法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</w:rPr>
        <w:t>第二章 会计信息形式质量的内涵与外延</w:t>
      </w:r>
    </w:p>
    <w:p>
      <w:pPr>
        <w:spacing w:line="400" w:lineRule="exact"/>
        <w:ind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第一节 基于通信视角的会计信息质量的解构</w:t>
      </w:r>
    </w:p>
    <w:p>
      <w:pPr>
        <w:spacing w:line="400" w:lineRule="exact"/>
        <w:ind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第二节 基于语言学视角的会计信息形式质量的内涵【晓雪】</w:t>
      </w:r>
    </w:p>
    <w:p>
      <w:pPr>
        <w:spacing w:line="400" w:lineRule="exact"/>
        <w:ind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第三节 会计信息形式质量的外延</w:t>
      </w:r>
      <w:r>
        <w:rPr>
          <w:rFonts w:hint="eastAsia" w:ascii="Times New Roman" w:hAnsi="Times New Roman" w:eastAsia="SimSun" w:cs="Times New Roman"/>
          <w:color w:val="FF0000"/>
          <w:sz w:val="24"/>
          <w:szCs w:val="24"/>
          <w:highlight w:val="cyan"/>
        </w:rPr>
        <w:t>【+语言学角度论证-新凯】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  <w:highlight w:val="cyan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第三章 会计信息形式质量的制度背景【程云】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第一节 美国有关会计信息披露形式的政策法规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第二节 中国有关会计信息披露形式的政策法规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</w:rPr>
        <w:t>第四章 会计文本的可读性研究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第一节 文本</w:t>
      </w:r>
      <w:bookmarkStart w:id="0" w:name="_GoBack"/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可读性</w:t>
      </w:r>
      <w:bookmarkEnd w:id="0"/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的语言学基础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【晓雪】</w:t>
      </w:r>
      <w:r>
        <w:rPr>
          <w:rFonts w:hint="eastAsia" w:ascii="Times New Roman" w:hAnsi="Times New Roman" w:eastAsia="SimSun" w:cs="Times New Roman"/>
          <w:color w:val="FF0000"/>
          <w:sz w:val="24"/>
          <w:szCs w:val="24"/>
          <w:highlight w:val="cyan"/>
        </w:rPr>
        <w:t>【+语言学角度论证-新凯】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  <w:highlight w:val="cyan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第二节 会计文本可读性的操纵动机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【晓雪】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第三节 会计文本可读性的经济后果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【晓雪】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第四节 会计文本可读性的衡量指标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第五节 文本可读性的处理方法与案例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</w:rPr>
        <w:t>第五章 会计文本的语调特征研究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  <w:highlight w:val="cyan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第一节 会计文本语调的语言学特征分类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【肖瑶】</w:t>
      </w:r>
      <w:r>
        <w:rPr>
          <w:rFonts w:hint="eastAsia" w:ascii="Times New Roman" w:hAnsi="Times New Roman" w:eastAsia="SimSun" w:cs="Times New Roman"/>
          <w:color w:val="FF0000"/>
          <w:sz w:val="24"/>
          <w:szCs w:val="24"/>
          <w:highlight w:val="cyan"/>
        </w:rPr>
        <w:t>【+语言学角度论证-新凯】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  <w:highlight w:val="cyan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第二节 会计文本语调的操纵动机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【肖瑶】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第三节 会计文本语调对信息使用者的影响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【肖瑶】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  <w:highlight w:val="yellow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第四节 会计文本语调的词库构建与方法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第五节 会计文本语调的衡量指标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</w:rPr>
        <w:t>第六章 会计文本的语义特征研究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  <w:highlight w:val="cyan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第一节 会计文本语义的语言学特征分类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【肖瑶】</w:t>
      </w:r>
      <w:r>
        <w:rPr>
          <w:rFonts w:hint="eastAsia" w:ascii="Times New Roman" w:hAnsi="Times New Roman" w:eastAsia="SimSun" w:cs="Times New Roman"/>
          <w:color w:val="FF0000"/>
          <w:sz w:val="24"/>
          <w:szCs w:val="24"/>
          <w:highlight w:val="cyan"/>
        </w:rPr>
        <w:t>【+语言学角度论证-新凯】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  <w:highlight w:val="cyan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第二节 会计文本语义的操纵动机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【肖瑶】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cyan"/>
        </w:rPr>
        <w:t>第三节 会计文本语义对信息使用者的影响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【肖瑶】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  <w:highlight w:val="yellow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第四节 会计文本语义的词库构建与方法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  <w:highlight w:val="yellow"/>
        </w:rPr>
        <w:t>第五节 会计文本语义的衡量指标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第七章 会计信息的呈报特征研究【吴莹】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第一节 会计信息披露时点研究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第二节 会计信息呈报格式研究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第三节 会计信息呈报方式研究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yellow"/>
        </w:rPr>
        <w:t>第八章 基于投资组合的会计信息形式质量的指标构建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第一节 会计信息形式质量的评价维度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第二节 会计信息形式质量的指标体系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第三节 会计信息形式质量的数据处理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第四节 基于会计信息形式质量的投资组合构建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yellow"/>
        </w:rPr>
        <w:t>第九章 中国A股上市公司会计信息形式质量指数排名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第一节 全部A股会计信息形式质量指数排名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第二节 分行业会计信息形式质量指数排名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第三节 分板块会计信息形式质量指数排名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第四节 分产权性质会计信息形式质量指数排名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yellow"/>
        </w:rPr>
        <w:t>第十章 中国A股上市公司会计信息形式质量分类指标评价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第一节 文本信息量特征指标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第二节 文本形式特征指标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第三节 文本语义特征指标</w:t>
      </w:r>
    </w:p>
    <w:p>
      <w:pPr>
        <w:spacing w:line="400" w:lineRule="exact"/>
        <w:ind w:firstLine="600" w:firstLineChars="250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第四节 呈报特征指标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第十一章 会计信息形式质量与利益相关者决策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第一节 会计信息形式质量与债权人决策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【鲜蕊】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第二节 会计信息形式质量与分析师决策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【肖瑶】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第三节 会计信息形式质量与审计师决策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【程云】</w:t>
      </w:r>
    </w:p>
    <w:p>
      <w:pPr>
        <w:spacing w:line="400" w:lineRule="exac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SimSun" w:cs="Times New Roman"/>
          <w:sz w:val="24"/>
          <w:szCs w:val="24"/>
        </w:rPr>
        <w:t>第四节 会计信息形式质量与供应商决策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【吴莹】</w:t>
      </w:r>
    </w:p>
    <w:p>
      <w:pPr>
        <w:spacing w:line="400" w:lineRule="exact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SimSun" w:cs="Times New Roman"/>
          <w:b/>
          <w:bCs/>
          <w:sz w:val="24"/>
          <w:szCs w:val="24"/>
          <w:highlight w:val="cyan"/>
        </w:rPr>
        <w:t>第十二章 未来研究展望【鲜蕊】</w:t>
      </w:r>
    </w:p>
    <w:p>
      <w:pPr>
        <w:spacing w:line="400" w:lineRule="exact"/>
        <w:ind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第一节 会计信息形式质量多语种比较研究</w:t>
      </w:r>
    </w:p>
    <w:p>
      <w:pPr>
        <w:spacing w:line="400" w:lineRule="exact"/>
        <w:ind w:firstLine="720" w:firstLineChars="300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第二节 会计信息形式质量多模态研究</w:t>
      </w:r>
    </w:p>
    <w:p>
      <w:pPr>
        <w:spacing w:line="400" w:lineRule="exact"/>
        <w:ind w:firstLine="720" w:firstLineChars="300"/>
        <w:rPr>
          <w:rFonts w:hint="eastAsia" w:ascii="Times New Roman" w:hAnsi="Times New Roman" w:eastAsia="SimSun" w:cs="Times New Roman"/>
          <w:sz w:val="24"/>
          <w:szCs w:val="24"/>
        </w:rPr>
      </w:pPr>
      <w:r>
        <w:rPr>
          <w:rFonts w:hint="eastAsia" w:ascii="Times New Roman" w:hAnsi="Times New Roman" w:eastAsia="SimSun" w:cs="Times New Roman"/>
          <w:sz w:val="24"/>
          <w:szCs w:val="24"/>
        </w:rPr>
        <w:t>第三节 会计信息形式质量准则规范研究</w:t>
      </w:r>
    </w:p>
    <w:p>
      <w:pPr>
        <w:spacing w:line="400" w:lineRule="exact"/>
        <w:ind w:firstLine="720" w:firstLineChars="300"/>
        <w:rPr>
          <w:rFonts w:hint="eastAsia" w:ascii="Times New Roman" w:hAnsi="Times New Roman" w:eastAsia="SimSun" w:cs="Times New Roman"/>
          <w:sz w:val="24"/>
          <w:szCs w:val="24"/>
        </w:rPr>
      </w:pPr>
    </w:p>
    <w:p>
      <w:pPr>
        <w:spacing w:line="400" w:lineRule="exact"/>
        <w:ind w:firstLine="720" w:firstLineChars="300"/>
        <w:rPr>
          <w:rFonts w:hint="eastAsia" w:ascii="Times New Roman" w:hAnsi="Times New Roman" w:eastAsia="SimSun" w:cs="Times New Roman"/>
          <w:color w:val="0000FF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FF"/>
          <w:sz w:val="24"/>
          <w:szCs w:val="24"/>
        </w:rPr>
        <w:t>具体理论，放到文字，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5E"/>
    <w:rsid w:val="0000730F"/>
    <w:rsid w:val="000200A1"/>
    <w:rsid w:val="000200CB"/>
    <w:rsid w:val="00037A39"/>
    <w:rsid w:val="00050CE1"/>
    <w:rsid w:val="00052B20"/>
    <w:rsid w:val="00071048"/>
    <w:rsid w:val="0007200E"/>
    <w:rsid w:val="000745E1"/>
    <w:rsid w:val="00081FB4"/>
    <w:rsid w:val="000B1F6B"/>
    <w:rsid w:val="000B285A"/>
    <w:rsid w:val="00101C77"/>
    <w:rsid w:val="0011590D"/>
    <w:rsid w:val="0011771B"/>
    <w:rsid w:val="00146675"/>
    <w:rsid w:val="00147D19"/>
    <w:rsid w:val="00152252"/>
    <w:rsid w:val="00160B64"/>
    <w:rsid w:val="001715A7"/>
    <w:rsid w:val="001746B0"/>
    <w:rsid w:val="00187887"/>
    <w:rsid w:val="0019520C"/>
    <w:rsid w:val="001A28F3"/>
    <w:rsid w:val="001B3B9F"/>
    <w:rsid w:val="001B4D0A"/>
    <w:rsid w:val="001C28E0"/>
    <w:rsid w:val="001F3106"/>
    <w:rsid w:val="00204319"/>
    <w:rsid w:val="00214459"/>
    <w:rsid w:val="002178E5"/>
    <w:rsid w:val="00233B3E"/>
    <w:rsid w:val="00253AE3"/>
    <w:rsid w:val="00257C95"/>
    <w:rsid w:val="00287D5A"/>
    <w:rsid w:val="002B2FAB"/>
    <w:rsid w:val="002C2322"/>
    <w:rsid w:val="002C57D7"/>
    <w:rsid w:val="002F2BBE"/>
    <w:rsid w:val="00340E1F"/>
    <w:rsid w:val="00344CF2"/>
    <w:rsid w:val="0036077F"/>
    <w:rsid w:val="00365047"/>
    <w:rsid w:val="003672C6"/>
    <w:rsid w:val="00375ED4"/>
    <w:rsid w:val="003834F0"/>
    <w:rsid w:val="003B1D24"/>
    <w:rsid w:val="003B542D"/>
    <w:rsid w:val="003F0C8E"/>
    <w:rsid w:val="003F70C2"/>
    <w:rsid w:val="00400B16"/>
    <w:rsid w:val="0040491D"/>
    <w:rsid w:val="00421799"/>
    <w:rsid w:val="00424B95"/>
    <w:rsid w:val="00451673"/>
    <w:rsid w:val="00452A6A"/>
    <w:rsid w:val="00463F47"/>
    <w:rsid w:val="0047071B"/>
    <w:rsid w:val="00484C74"/>
    <w:rsid w:val="004906DD"/>
    <w:rsid w:val="00494BF6"/>
    <w:rsid w:val="004A3491"/>
    <w:rsid w:val="004A5D59"/>
    <w:rsid w:val="004B5281"/>
    <w:rsid w:val="004B7DC6"/>
    <w:rsid w:val="004C36CC"/>
    <w:rsid w:val="004C780A"/>
    <w:rsid w:val="004D68EA"/>
    <w:rsid w:val="005007FC"/>
    <w:rsid w:val="00513A74"/>
    <w:rsid w:val="00514E05"/>
    <w:rsid w:val="005472C1"/>
    <w:rsid w:val="00557D42"/>
    <w:rsid w:val="00573148"/>
    <w:rsid w:val="00582175"/>
    <w:rsid w:val="00587FE0"/>
    <w:rsid w:val="005977F1"/>
    <w:rsid w:val="005D2C76"/>
    <w:rsid w:val="005F54D0"/>
    <w:rsid w:val="00627E96"/>
    <w:rsid w:val="006368BD"/>
    <w:rsid w:val="00641498"/>
    <w:rsid w:val="00664275"/>
    <w:rsid w:val="006957F7"/>
    <w:rsid w:val="006A688B"/>
    <w:rsid w:val="006B0776"/>
    <w:rsid w:val="006C3C05"/>
    <w:rsid w:val="006C42CE"/>
    <w:rsid w:val="006C655A"/>
    <w:rsid w:val="007016D0"/>
    <w:rsid w:val="00710BBB"/>
    <w:rsid w:val="0071439E"/>
    <w:rsid w:val="007154F6"/>
    <w:rsid w:val="007219B9"/>
    <w:rsid w:val="00731C90"/>
    <w:rsid w:val="00743B75"/>
    <w:rsid w:val="00755F31"/>
    <w:rsid w:val="00775003"/>
    <w:rsid w:val="007A7762"/>
    <w:rsid w:val="007B0464"/>
    <w:rsid w:val="007B09EB"/>
    <w:rsid w:val="007D5E41"/>
    <w:rsid w:val="007E2D3E"/>
    <w:rsid w:val="007F384F"/>
    <w:rsid w:val="00823167"/>
    <w:rsid w:val="008277F8"/>
    <w:rsid w:val="00831234"/>
    <w:rsid w:val="008344CA"/>
    <w:rsid w:val="00846918"/>
    <w:rsid w:val="008B0A0C"/>
    <w:rsid w:val="008C6651"/>
    <w:rsid w:val="008D0BBE"/>
    <w:rsid w:val="008D45F0"/>
    <w:rsid w:val="008E4693"/>
    <w:rsid w:val="008F30FF"/>
    <w:rsid w:val="00926D0D"/>
    <w:rsid w:val="00930201"/>
    <w:rsid w:val="00935D8D"/>
    <w:rsid w:val="009360A7"/>
    <w:rsid w:val="009467F7"/>
    <w:rsid w:val="00953993"/>
    <w:rsid w:val="00977343"/>
    <w:rsid w:val="009A3ECE"/>
    <w:rsid w:val="009B5CDC"/>
    <w:rsid w:val="009C4D7A"/>
    <w:rsid w:val="009D0444"/>
    <w:rsid w:val="009D0CD6"/>
    <w:rsid w:val="009D5E66"/>
    <w:rsid w:val="009E5E78"/>
    <w:rsid w:val="00A033D4"/>
    <w:rsid w:val="00A127E6"/>
    <w:rsid w:val="00A13161"/>
    <w:rsid w:val="00A246B9"/>
    <w:rsid w:val="00A323AC"/>
    <w:rsid w:val="00A43992"/>
    <w:rsid w:val="00A4466E"/>
    <w:rsid w:val="00A46927"/>
    <w:rsid w:val="00A5548D"/>
    <w:rsid w:val="00A63036"/>
    <w:rsid w:val="00A705A9"/>
    <w:rsid w:val="00A80675"/>
    <w:rsid w:val="00A853C9"/>
    <w:rsid w:val="00AA2E5E"/>
    <w:rsid w:val="00AA3EEF"/>
    <w:rsid w:val="00AA4A1D"/>
    <w:rsid w:val="00AC0472"/>
    <w:rsid w:val="00AE3F99"/>
    <w:rsid w:val="00AE7531"/>
    <w:rsid w:val="00AF7090"/>
    <w:rsid w:val="00B3021A"/>
    <w:rsid w:val="00B43285"/>
    <w:rsid w:val="00B5739A"/>
    <w:rsid w:val="00B642FA"/>
    <w:rsid w:val="00BA34E2"/>
    <w:rsid w:val="00BB00AF"/>
    <w:rsid w:val="00BD5C1F"/>
    <w:rsid w:val="00BF54AB"/>
    <w:rsid w:val="00C04762"/>
    <w:rsid w:val="00C10AD2"/>
    <w:rsid w:val="00C4604A"/>
    <w:rsid w:val="00C462E2"/>
    <w:rsid w:val="00C93FDC"/>
    <w:rsid w:val="00CB12DA"/>
    <w:rsid w:val="00CC24EC"/>
    <w:rsid w:val="00CE7824"/>
    <w:rsid w:val="00D42F61"/>
    <w:rsid w:val="00D47304"/>
    <w:rsid w:val="00D60506"/>
    <w:rsid w:val="00D62758"/>
    <w:rsid w:val="00D62846"/>
    <w:rsid w:val="00D65D5A"/>
    <w:rsid w:val="00D766E5"/>
    <w:rsid w:val="00D77BEA"/>
    <w:rsid w:val="00DA2391"/>
    <w:rsid w:val="00DC0E33"/>
    <w:rsid w:val="00DC4527"/>
    <w:rsid w:val="00DC6F8D"/>
    <w:rsid w:val="00DD2445"/>
    <w:rsid w:val="00DE515C"/>
    <w:rsid w:val="00DF1D2E"/>
    <w:rsid w:val="00E10BD9"/>
    <w:rsid w:val="00E35E05"/>
    <w:rsid w:val="00E37414"/>
    <w:rsid w:val="00E63CE1"/>
    <w:rsid w:val="00E84426"/>
    <w:rsid w:val="00E8552A"/>
    <w:rsid w:val="00E90DC8"/>
    <w:rsid w:val="00EC2036"/>
    <w:rsid w:val="00ED606C"/>
    <w:rsid w:val="00F02BE3"/>
    <w:rsid w:val="00F364F6"/>
    <w:rsid w:val="00F43028"/>
    <w:rsid w:val="00F576EA"/>
    <w:rsid w:val="00F63317"/>
    <w:rsid w:val="00F7558E"/>
    <w:rsid w:val="00F75965"/>
    <w:rsid w:val="00F763BA"/>
    <w:rsid w:val="00F92AA4"/>
    <w:rsid w:val="00F931F3"/>
    <w:rsid w:val="00F94270"/>
    <w:rsid w:val="00FE7D15"/>
    <w:rsid w:val="00FF3135"/>
    <w:rsid w:val="00FF34D2"/>
    <w:rsid w:val="00FF703A"/>
    <w:rsid w:val="9FFB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3">
    <w:name w:val="annotation text"/>
    <w:basedOn w:val="1"/>
    <w:link w:val="12"/>
    <w:unhideWhenUsed/>
    <w:qFormat/>
    <w:uiPriority w:val="99"/>
    <w:pPr>
      <w:jc w:val="left"/>
    </w:pPr>
  </w:style>
  <w:style w:type="paragraph" w:styleId="4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批注文字 字符"/>
    <w:basedOn w:val="7"/>
    <w:link w:val="3"/>
    <w:semiHidden/>
    <w:uiPriority w:val="99"/>
  </w:style>
  <w:style w:type="character" w:customStyle="1" w:styleId="13">
    <w:name w:val="批注主题 字符"/>
    <w:basedOn w:val="12"/>
    <w:link w:val="4"/>
    <w:semiHidden/>
    <w:uiPriority w:val="99"/>
    <w:rPr>
      <w:b/>
      <w:bCs/>
    </w:rPr>
  </w:style>
  <w:style w:type="character" w:customStyle="1" w:styleId="14">
    <w:name w:val="批注框文本 字符"/>
    <w:basedOn w:val="7"/>
    <w:link w:val="2"/>
    <w:semiHidden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194</Words>
  <Characters>1106</Characters>
  <Lines>9</Lines>
  <Paragraphs>2</Paragraphs>
  <TotalTime>0</TotalTime>
  <ScaleCrop>false</ScaleCrop>
  <LinksUpToDate>false</LinksUpToDate>
  <CharactersWithSpaces>1298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2022-04-26T20:53:00Z</dcterms:created>
  <dc:creator>文 雯</dc:creator>
  <cp:lastModifiedBy>dengxinkaiacca163.com</cp:lastModifiedBy>
  <dcterms:modified xsi:type="dcterms:W3CDTF">2022-04-29T18:26:50Z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1033-3.8.1.6116</vt:lpwstr>
  </property>
</Properties>
</file>