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订单中心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OS-OPS-PRD-05  |  V2.4  |  2026-09-09</w:t>
      </w:r>
    </w:p>
    <w:p>
      <w:pPr>
        <w:spacing w:before="1440"/>
        <w:jc w:val="center"/>
      </w:pPr>
      <w:r>
        <w:rPr>
          <w:rFonts w:ascii="Calibri" w:hAnsi="Calibri" w:eastAsia="Microsoft YaHei"/>
          <w:b w:val="0"/>
          <w:color w:val="1F2937"/>
          <w:sz w:val="22"/>
        </w:rPr>
        <w:t>统一管理迷你仓、迷你箱、续租、退租、转仓和衍生商品订单及其价格、审批和履约状态。</w:t>
      </w:r>
    </w:p>
    <w:p>
      <w:r>
        <w:br w:type="page"/>
      </w:r>
    </w:p>
    <w:p>
      <w:pPr>
        <w:pStyle w:val="Heading1"/>
      </w:pPr>
      <w:r>
        <w:t>1 文档目标与范围</w:t>
      </w:r>
    </w:p>
    <w:p>
      <w:r>
        <w:t>统一管理迷你仓、迷你箱、续租、退租、转仓和衍生商品订单及其价格、审批和履约状态。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OS-OPS-PRD-05</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V2.4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05-order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订单中心列表与筛选</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OS-OPS-PRD-05-FP05 取消订单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订单中心列表与筛选由查询条件、结果列表、状态标识、行级操作和分页区组成。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查询条件可组合、重置并在返回时保留；列表与导出共用同一数据范围；按钮依据权限、状态和allowedActions显示。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471862"/>
            <wp:docPr id="2" name="Picture 2"/>
            <wp:cNvGraphicFramePr>
              <a:graphicFrameLocks noChangeAspect="1"/>
            </wp:cNvGraphicFramePr>
            <a:graphic>
              <a:graphicData uri="http://schemas.openxmlformats.org/drawingml/2006/picture">
                <pic:pic>
                  <pic:nvPicPr>
                    <pic:cNvPr id="0" name="ops-05-orders-detail.png"/>
                    <pic:cNvPicPr/>
                  </pic:nvPicPr>
                  <pic:blipFill>
                    <a:blip r:embed="rId12"/>
                    <a:stretch>
                      <a:fillRect/>
                    </a:stretch>
                  </pic:blipFill>
                  <pic:spPr>
                    <a:xfrm>
                      <a:off x="0" y="0"/>
                      <a:ext cx="6172200" cy="3471862"/>
                    </a:xfrm>
                    <a:prstGeom prst="rect"/>
                  </pic:spPr>
                </pic:pic>
              </a:graphicData>
            </a:graphic>
          </wp:inline>
        </w:drawing>
      </w:r>
    </w:p>
    <w:p>
      <w:pPr>
        <w:pStyle w:val="Caption"/>
        <w:jc w:val="center"/>
      </w:pPr>
      <w:r>
        <w:t>图 2-2  订单详情与业务节点操作时间线</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OS-OPS-PRD-05-FP02 查看订单详情；OS-OPS-PRD-05-FP03 提交审批；OS-OPS-PRD-05-FP04 更新订单；OS-OPS-PRD-05-FP06 查看物流</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详情页由对象摘要、关联业务、可执行动作、附件凭证和状态时间线组成。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动作按钮完全依据allowedActions显示；每次动作后回源刷新状态、版本和时间线，冲突时禁止旧数据覆盖。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3" name="Picture 3"/>
            <wp:cNvGraphicFramePr>
              <a:graphicFrameLocks noChangeAspect="1"/>
            </wp:cNvGraphicFramePr>
            <a:graphic>
              <a:graphicData uri="http://schemas.openxmlformats.org/drawingml/2006/picture">
                <pic:pic>
                  <pic:nvPicPr>
                    <pic:cNvPr id="0" name="ops-05-orders-add.png"/>
                    <pic:cNvPicPr/>
                  </pic:nvPicPr>
                  <pic:blipFill>
                    <a:blip r:embed="rId13"/>
                    <a:stretch>
                      <a:fillRect/>
                    </a:stretch>
                  </pic:blipFill>
                  <pic:spPr>
                    <a:xfrm>
                      <a:off x="0" y="0"/>
                      <a:ext cx="6172200" cy="3857625"/>
                    </a:xfrm>
                    <a:prstGeom prst="rect"/>
                  </pic:spPr>
                </pic:pic>
              </a:graphicData>
            </a:graphic>
          </wp:inline>
        </w:drawing>
      </w:r>
    </w:p>
    <w:p>
      <w:pPr>
        <w:pStyle w:val="Caption"/>
        <w:jc w:val="center"/>
      </w:pPr>
      <w:r>
        <w:t>图 2-3  新增订单表单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OS-OPS-PRD-05-FP01 新增订单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订单号、客户、门店或仓位</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产品线</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订单类型</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订单状态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付款状态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签约状态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负责人</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创建时间</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OS-OPS-PRD-05-L01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订单编号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OS-OPS-PRD-05-L02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产品线</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OS-OPS-PRD-05-L03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订单类型</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OS-OPS-PRD-05-L04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订单来源</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OS-OPS-PRD-05-L05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显示客户名称和客户编号，可跳转客户档案。</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OS-OPS-PRD-05-L06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产品或仓位</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OS-OPS-PRD-05-L07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订单状态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OS-OPS-PRD-05-L08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订单金额</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OS-OPS-PRD-05-L09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创建时间</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服务器创建时间，格式YYYY-MM-DD HH:mm:ss。</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OS-OPS-PRD-05-L10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负责人</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显示姓名，离职或停用账号保留历史名称。</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OS-OPS-PRD-05-L11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物流状态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OS-OPS-PRD-05-L12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OS-OPS-PRD-05-F01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关联销售机会</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OS-OPS-PRD-05-F02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订单类型</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OS-OPS-PRD-05-F03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负责人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OS-OPS-PRD-05-F04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订单状态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OS-OPS-PRD-05-F05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产品线</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OS-OPS-PRD-05-F06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店铺或仓点</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OS-OPS-PRD-05-F07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仓位或产品</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OS-OPS-PRD-05-F08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数量</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OS-OPS-PRD-05-F09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起租日期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OS-OPS-PRD-05-F10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租期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OS-OPS-PRD-05-F11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到期日期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OS-OPS-PRD-05-F12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库存处理</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OS-OPS-PRD-05-F13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关联报价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OS-OPS-PRD-05-F14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原价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OS-OPS-PRD-05-F15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优惠金额</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OS-OPS-PRD-05-F16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保险费用</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OS-OPS-PRD-05-F17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批核后的自动动作</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OS-OPS-PRD-05-F18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订单备注</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OS-OPS-PRD-05-F19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备注</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订单详情入口与容器</w:t>
      </w:r>
    </w:p>
    <w:p>
      <w:r>
        <w:t>用户在订单列表点击“查看”后，从右侧打开订单详情抽屉。抽屉打开时保留列表查询上下文并锁定背景滚动；点击右上角关闭、底部关闭或按Esc退出。详情加载失败不得关闭列表，页面应保留订单号、错误原因、traceId和重试入口。</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界面状态</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页面要求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加载中</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先显示标题与骨架；摘要、时间轴和各页签独立加载，禁止显示其他订单的缓存内容。</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加载成功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显示订单号、version、aggregatedStatus、asOfTime和allowedActions；每次动作成功后回源刷新。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记录不存在</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显示订单不存在或已移除，不泄露客户、金额和关联对象；返回列表后刷新该行。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显示无权查看并记录拒绝审计；不得先显示后遮盖敏感内容。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版本变化</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详情停留期间收到变更事件时提示已更新，并自动刷新只读区；有未提交表单时要求用户确认。</w:t>
            </w:r>
          </w:p>
        </w:tc>
      </w:tr>
    </w:tbl>
    <w:p>
      <w:pPr>
        <w:spacing w:after="0"/>
      </w:pPr>
    </w:p>
    <w:p>
      <w:pPr>
        <w:pStyle w:val="Heading2"/>
      </w:pPr>
      <w:r>
        <w:t>5.2 顶部摘要区</w:t>
      </w:r>
    </w:p>
    <w:p>
      <w:r>
        <w:t>顶部摘要区对应原型详情截图的业务标识、租用标的、客户摘要、综合状态和四张概览卡。摘要用于快速判断订单是什么、属于谁、当前卡在哪一步，不允许在该区域直接修改业务数据。</w:t>
      </w:r>
    </w:p>
    <w:tbl>
      <w:tblPr>
        <w:tblStyle w:val="TableGrid"/>
        <w:tblW w:type="dxa" w:w="10224"/>
        <w:jc w:val="center"/>
        <w:tblLayout w:type="fixed"/>
        <w:tblLook w:firstColumn="1" w:firstRow="1" w:lastColumn="0" w:lastRow="0" w:noHBand="0" w:noVBand="1" w:val="04A0"/>
      </w:tblPr>
      <w:tblGrid>
        <w:gridCol w:w="1656"/>
        <w:gridCol w:w="2880"/>
        <w:gridCol w:w="2592"/>
        <w:gridCol w:w="3096"/>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5"/>
              </w:rPr>
              <w:t>区域</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5"/>
              </w:rPr>
              <w:t>展示字段</w:t>
            </w:r>
          </w:p>
        </w:tc>
        <w:tc>
          <w:tcPr>
            <w:tcW w:type="dxa" w:w="2592"/>
            <w:shd w:fill="17365D"/>
            <w:tcMar>
              <w:top w:w="75" w:type="dxa"/>
              <w:start w:w="100" w:type="dxa"/>
              <w:bottom w:w="75" w:type="dxa"/>
              <w:end w:w="100" w:type="dxa"/>
            </w:tcMar>
            <w:vAlign w:val="center"/>
          </w:tcPr>
          <w:p>
            <w:r>
              <w:rPr>
                <w:rFonts w:ascii="Calibri" w:hAnsi="Calibri" w:eastAsia="Microsoft YaHei"/>
                <w:b/>
                <w:color w:val="FFFFFF"/>
                <w:sz w:val="15"/>
              </w:rPr>
              <w:t>数据来源</w:t>
            </w:r>
          </w:p>
        </w:tc>
        <w:tc>
          <w:tcPr>
            <w:tcW w:type="dxa" w:w="3096"/>
            <w:shd w:fill="17365D"/>
            <w:tcMar>
              <w:top w:w="75" w:type="dxa"/>
              <w:start w:w="100" w:type="dxa"/>
              <w:bottom w:w="75" w:type="dxa"/>
              <w:end w:w="100" w:type="dxa"/>
            </w:tcMar>
            <w:vAlign w:val="center"/>
          </w:tcPr>
          <w:p>
            <w:r>
              <w:rPr>
                <w:rFonts w:ascii="Calibri" w:hAnsi="Calibri" w:eastAsia="Microsoft YaHei"/>
                <w:b/>
                <w:color w:val="FFFFFF"/>
                <w:sz w:val="15"/>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业务标识</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订单类型、订单来源、订单编号</w:t>
            </w:r>
          </w:p>
        </w:tc>
        <w:tc>
          <w:tcPr>
            <w:tcW w:type="dxa" w:w="25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orderType、sourceCode、orderNo</w:t>
            </w:r>
          </w:p>
        </w:tc>
        <w:tc>
          <w:tcPr>
            <w:tcW w:type="dxa" w:w="30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订单编号可复制；点击来源可打开销售机会、退租申请或小程序来源记录。</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租用标的</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店铺名称、仓位/迷你箱/商品、规格或面积</w:t>
            </w:r>
          </w:p>
        </w:tc>
        <w:tc>
          <w:tcPr>
            <w:tcW w:type="dxa" w:w="25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storeSnapshot、subjectSnapshot</w:t>
            </w:r>
          </w:p>
        </w:tc>
        <w:tc>
          <w:tcPr>
            <w:tcW w:type="dxa" w:w="30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使用成交快照展示；点击有效关联编号打开对应详情，历史名称不得随主数据修改。</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客户摘要</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客户姓名、客户编号、来源渠道</w:t>
            </w:r>
          </w:p>
        </w:tc>
        <w:tc>
          <w:tcPr>
            <w:tcW w:type="dxa" w:w="25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customerSnapshot、channelCode</w:t>
            </w:r>
          </w:p>
        </w:tc>
        <w:tc>
          <w:tcPr>
            <w:tcW w:type="dxa" w:w="30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姓名按字段权限脱敏；客户编号可进入客户档案，渠道使用建单时快照。</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综合状态</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待审批、待签约及付款、待履约、履约中、已完成或异常</w:t>
            </w:r>
          </w:p>
        </w:tc>
        <w:tc>
          <w:tcPr>
            <w:tcW w:type="dxa" w:w="25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aggregatedStatus</w:t>
            </w:r>
          </w:p>
        </w:tc>
        <w:tc>
          <w:tcPr>
            <w:tcW w:type="dxa" w:w="30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由审批、合同、支付和履约子状态聚合；前端不得自行推导或修改。</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产品线</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迷你仓、迷你箱或衍生商品</w:t>
            </w:r>
          </w:p>
        </w:tc>
        <w:tc>
          <w:tcPr>
            <w:tcW w:type="dxa" w:w="25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productLine</w:t>
            </w:r>
          </w:p>
        </w:tc>
        <w:tc>
          <w:tcPr>
            <w:tcW w:type="dxa" w:w="30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使用已发布字典；决定详情字段、节点时间轴和履约页签内容。</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订单类型</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新租、续租、退租、转仓或商品购买</w:t>
            </w:r>
          </w:p>
        </w:tc>
        <w:tc>
          <w:tcPr>
            <w:tcW w:type="dxa" w:w="25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orderType</w:t>
            </w:r>
          </w:p>
        </w:tc>
        <w:tc>
          <w:tcPr>
            <w:tcW w:type="dxa" w:w="30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决定前置订单、租期、金额方向、库存动作和BPMN分支。</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应付金额</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币种与订单应付总额</w:t>
            </w:r>
          </w:p>
        </w:tc>
        <w:tc>
          <w:tcPr>
            <w:tcW w:type="dxa" w:w="25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pricing.payableAmount</w:t>
            </w:r>
          </w:p>
        </w:tc>
        <w:tc>
          <w:tcPr>
            <w:tcW w:type="dxa" w:w="30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以服务端价格快照为准；金额按币种精度格式化，退款订单可显示负向金额或应退金额。</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付款状态</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待付款、部分付款、已付款、退款中、部分退款或已退款</w:t>
            </w:r>
          </w:p>
        </w:tc>
        <w:tc>
          <w:tcPr>
            <w:tcW w:type="dxa" w:w="25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paymentSummary.status</w:t>
            </w:r>
          </w:p>
        </w:tc>
        <w:tc>
          <w:tcPr>
            <w:tcW w:type="dxa" w:w="30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以支付服务回调和财务确认结果为准；点击进入金额与签约页签的付款记录。</w:t>
            </w:r>
          </w:p>
        </w:tc>
      </w:tr>
    </w:tbl>
    <w:p>
      <w:pPr>
        <w:spacing w:after="0"/>
      </w:pPr>
    </w:p>
    <w:p>
      <w:pPr>
        <w:pStyle w:val="Heading2"/>
      </w:pPr>
      <w:r>
        <w:t>5.3 订单节点操作时间轴</w:t>
      </w:r>
    </w:p>
    <w:tbl>
      <w:tblPr>
        <w:tblStyle w:val="TableGrid"/>
        <w:tblW w:type="dxa" w:w="10800"/>
        <w:jc w:val="center"/>
        <w:tblLayout w:type="fixed"/>
        <w:tblLook w:firstColumn="1" w:firstRow="1" w:lastColumn="0" w:lastRow="0" w:noHBand="0" w:noVBand="1" w:val="04A0"/>
      </w:tblPr>
      <w:tblGrid>
        <w:gridCol w:w="1584"/>
        <w:gridCol w:w="2304"/>
        <w:gridCol w:w="2088"/>
        <w:gridCol w:w="1944"/>
        <w:gridCol w:w="2880"/>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节点</w:t>
            </w:r>
          </w:p>
        </w:tc>
        <w:tc>
          <w:tcPr>
            <w:tcW w:type="dxa" w:w="2304"/>
            <w:shd w:fill="17365D"/>
            <w:tcMar>
              <w:top w:w="75" w:type="dxa"/>
              <w:start w:w="100" w:type="dxa"/>
              <w:bottom w:w="75" w:type="dxa"/>
              <w:end w:w="100" w:type="dxa"/>
            </w:tcMar>
            <w:vAlign w:val="center"/>
          </w:tcPr>
          <w:p>
            <w:r>
              <w:rPr>
                <w:rFonts w:ascii="Calibri" w:hAnsi="Calibri" w:eastAsia="Microsoft YaHei"/>
                <w:b/>
                <w:color w:val="FFFFFF"/>
                <w:sz w:val="15"/>
              </w:rPr>
              <w:t>状态</w:t>
            </w:r>
          </w:p>
        </w:tc>
        <w:tc>
          <w:tcPr>
            <w:tcW w:type="dxa" w:w="2088"/>
            <w:shd w:fill="17365D"/>
            <w:tcMar>
              <w:top w:w="75" w:type="dxa"/>
              <w:start w:w="100" w:type="dxa"/>
              <w:bottom w:w="75" w:type="dxa"/>
              <w:end w:w="100" w:type="dxa"/>
            </w:tcMar>
            <w:vAlign w:val="center"/>
          </w:tcPr>
          <w:p>
            <w:r>
              <w:rPr>
                <w:rFonts w:ascii="Calibri" w:hAnsi="Calibri" w:eastAsia="Microsoft YaHei"/>
                <w:b/>
                <w:color w:val="FFFFFF"/>
                <w:sz w:val="15"/>
              </w:rPr>
              <w:t>时间字段</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5"/>
              </w:rPr>
              <w:t>责任服务</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5"/>
              </w:rPr>
              <w:t>完成与异常规则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订单已提交</w:t>
            </w:r>
          </w:p>
        </w:tc>
        <w:tc>
          <w:tcPr>
            <w:tcW w:type="dxa" w:w="230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创建成功</w:t>
            </w:r>
          </w:p>
        </w:tc>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createdAt</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客户小程序、销售人员或系统</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订单号、来源、价格快照和初始状态写入成功。</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电子签约</w:t>
            </w:r>
          </w:p>
        </w:tc>
        <w:tc>
          <w:tcPr>
            <w:tcW w:type="dxa" w:w="230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待签署、签署中、已签署、拒签或失败</w:t>
            </w:r>
          </w:p>
        </w:tc>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contractSentAt、signedAt</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合同服务</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无合同业务显示不适用；失败节点可查看原因并在allowedActions允许时重新发送。</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支付订单</w:t>
            </w:r>
          </w:p>
        </w:tc>
        <w:tc>
          <w:tcPr>
            <w:tcW w:type="dxa" w:w="230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待付款、处理中、部分付款、已付款或失败</w:t>
            </w:r>
          </w:p>
        </w:tc>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paymentCreatedAt、paidAt</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支付服务或财务人员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金额与订单应付对账；支付处理中禁止重复创建同一付款单。</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仓位启用或履约</w:t>
            </w:r>
          </w:p>
        </w:tc>
        <w:tc>
          <w:tcPr>
            <w:tcW w:type="dxa" w:w="230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待处理、处理中、成功或失败</w:t>
            </w:r>
          </w:p>
        </w:tc>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fulfillmentStartedAt、completedAt</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仓位、箱务、商品或工单服务</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节点名称随产品线变化；失败保留补偿任务及人工处理入口。</w:t>
            </w:r>
          </w:p>
        </w:tc>
      </w:tr>
    </w:tbl>
    <w:p>
      <w:pPr>
        <w:spacing w:after="0"/>
      </w:pPr>
    </w:p>
    <w:p>
      <w:pPr>
        <w:pStyle w:val="ListBullet"/>
      </w:pPr>
      <w:r>
        <w:t>当前节点使用高亮样式，已完成节点显示完成时间，未开始节点显示待操作</w:t>
      </w:r>
    </w:p>
    <w:p>
      <w:pPr>
        <w:pStyle w:val="ListBullet"/>
      </w:pPr>
      <w:r>
        <w:t>节点状态由后端返回，不以节点序号或前端已有时间自行判断</w:t>
      </w:r>
    </w:p>
    <w:p>
      <w:pPr>
        <w:pStyle w:val="ListBullet"/>
      </w:pPr>
      <w:r>
        <w:t>同一节点重试时保留全部尝试记录，时间轴主节点显示最后有效结果</w:t>
      </w:r>
    </w:p>
    <w:p>
      <w:pPr>
        <w:pStyle w:val="ListBullet"/>
      </w:pPr>
      <w:r>
        <w:t>订单类型不需要的节点显示不适用或隐藏，但后续节点序号和接口nodeCode保持稳定</w:t>
      </w:r>
    </w:p>
    <w:p>
      <w:pPr>
        <w:pStyle w:val="ListBullet"/>
      </w:pPr>
      <w:r>
        <w:t>点击节点打开对应页签并定位到合同、付款或履约记录</w:t>
      </w:r>
    </w:p>
    <w:p>
      <w:pPr>
        <w:pStyle w:val="Heading2"/>
      </w:pPr>
      <w:r>
        <w:t>5.4 提示区和页签导航</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区域</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业务提示</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根据当前状态显示下一步、阻塞原因和责任角色。例如原型中的“小程序订单已提交，等待客户完成电子签约及付款”。提示由服务端nextActionSummary返回。</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页签导航</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订单资料、金额与签约、履约进度、操作记录四个页签按同一orderId加载；切换页签不重新打开抽屉，URL可保存tab编码。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未读与异常</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页签存在失败、待补资料或新记录时显示状态点或数量；清除提示只改变阅读状态，不改变业务状态。</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无权查看金额、合同文件、客户原文或内部日志时隐藏对应字段或页签；接口仍执行字段级权限校验。</w:t>
            </w:r>
          </w:p>
        </w:tc>
      </w:tr>
    </w:tbl>
    <w:p>
      <w:pPr>
        <w:spacing w:after="0"/>
      </w:pPr>
    </w:p>
    <w:p>
      <w:pPr>
        <w:pStyle w:val="Heading2"/>
      </w:pPr>
      <w:r>
        <w:t>5.5 四个详情页签字段</w:t>
      </w:r>
    </w:p>
    <w:tbl>
      <w:tblPr>
        <w:tblStyle w:val="TableGrid"/>
        <w:tblW w:type="dxa" w:w="10224"/>
        <w:jc w:val="center"/>
        <w:tblLayout w:type="fixed"/>
        <w:tblLook w:firstColumn="1" w:firstRow="1" w:lastColumn="0" w:lastRow="0" w:noHBand="0" w:noVBand="1" w:val="04A0"/>
      </w:tblPr>
      <w:tblGrid>
        <w:gridCol w:w="1512"/>
        <w:gridCol w:w="1944"/>
        <w:gridCol w:w="3600"/>
        <w:gridCol w:w="3168"/>
      </w:tblGrid>
      <w:tr>
        <w:trPr>
          <w:tblHeader/>
        </w:trPr>
        <w:tc>
          <w:tcPr>
            <w:tcW w:type="dxa" w:w="1512"/>
            <w:shd w:fill="17365D"/>
            <w:tcMar>
              <w:top w:w="75" w:type="dxa"/>
              <w:start w:w="100" w:type="dxa"/>
              <w:bottom w:w="75" w:type="dxa"/>
              <w:end w:w="100" w:type="dxa"/>
            </w:tcMar>
            <w:vAlign w:val="center"/>
          </w:tcPr>
          <w:p>
            <w:r>
              <w:rPr>
                <w:rFonts w:ascii="Calibri" w:hAnsi="Calibri" w:eastAsia="Microsoft YaHei"/>
                <w:b/>
                <w:color w:val="FFFFFF"/>
                <w:sz w:val="14"/>
              </w:rPr>
              <w:t>页签</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信息组</w:t>
            </w:r>
          </w:p>
        </w:tc>
        <w:tc>
          <w:tcPr>
            <w:tcW w:type="dxa" w:w="3600"/>
            <w:shd w:fill="17365D"/>
            <w:tcMar>
              <w:top w:w="75" w:type="dxa"/>
              <w:start w:w="100" w:type="dxa"/>
              <w:bottom w:w="75" w:type="dxa"/>
              <w:end w:w="100" w:type="dxa"/>
            </w:tcMar>
            <w:vAlign w:val="center"/>
          </w:tcPr>
          <w:p>
            <w:r>
              <w:rPr>
                <w:rFonts w:ascii="Calibri" w:hAnsi="Calibri" w:eastAsia="Microsoft YaHei"/>
                <w:b/>
                <w:color w:val="FFFFFF"/>
                <w:sz w:val="14"/>
              </w:rPr>
              <w:t>字段</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业务规则</w:t>
            </w:r>
          </w:p>
        </w:tc>
      </w:tr>
      <w:tr>
        <w:trPr>
          <w:cantSplit/>
        </w:trPr>
        <w:tc>
          <w:tcPr>
            <w:tcW w:type="dxa" w:w="15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订单资料</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来源与归属</w:t>
            </w:r>
          </w:p>
        </w:tc>
        <w:tc>
          <w:tcPr>
            <w:tcW w:type="dxa" w:w="36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销售机会/原订单/申请编号、订单来源、负责人、团队、区域、店铺</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关联编号、归属和来源均取创建时或当前责任快照；变更负责人写操作记录。</w:t>
            </w:r>
          </w:p>
        </w:tc>
      </w:tr>
      <w:tr>
        <w:trPr>
          <w:cantSplit/>
        </w:trPr>
        <w:tc>
          <w:tcPr>
            <w:tcW w:type="dxa" w:w="15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订单资料</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客户与联系人</w:t>
            </w:r>
          </w:p>
        </w:tc>
        <w:tc>
          <w:tcPr>
            <w:tcW w:type="dxa" w:w="36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客户编号、客户名称、手机号、邮箱、联系人、通知语言</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默认脱敏；有原文权限才允许查看并记录敏感访问审计。</w:t>
            </w:r>
          </w:p>
        </w:tc>
      </w:tr>
      <w:tr>
        <w:trPr>
          <w:cantSplit/>
        </w:trPr>
        <w:tc>
          <w:tcPr>
            <w:tcW w:type="dxa" w:w="15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订单资料</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租用或商品标的</w:t>
            </w:r>
          </w:p>
        </w:tc>
        <w:tc>
          <w:tcPr>
            <w:tcW w:type="dxa" w:w="36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产品线、仓位/箱号/SKU、数量、规格、起租日、租期、到期日</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按产品线动态展示；到期日由起租日和租期计算，人工调整必须说明原因。</w:t>
            </w:r>
          </w:p>
        </w:tc>
      </w:tr>
      <w:tr>
        <w:trPr>
          <w:cantSplit/>
        </w:trPr>
        <w:tc>
          <w:tcPr>
            <w:tcW w:type="dxa" w:w="15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订单资料</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订单备注</w:t>
            </w:r>
          </w:p>
        </w:tc>
        <w:tc>
          <w:tcPr>
            <w:tcW w:type="dxa" w:w="36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客户备注、内部备注、附件</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客户备注允许跨端展示；内部备注仅后台可见；附件按类型、大小和病毒扫描规则处理。</w:t>
            </w:r>
          </w:p>
        </w:tc>
      </w:tr>
      <w:tr>
        <w:trPr>
          <w:cantSplit/>
        </w:trPr>
        <w:tc>
          <w:tcPr>
            <w:tcW w:type="dxa" w:w="15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金额与签约</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价格构成</w:t>
            </w:r>
          </w:p>
        </w:tc>
        <w:tc>
          <w:tcPr>
            <w:tcW w:type="dxa" w:w="36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原价、优惠活动、优惠金额、服务费、保险费、按金、税费、应付金额</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应付=原价-优惠+服务费+保险费+按金+税费；每项返回币种、来源和priceVersion。</w:t>
            </w:r>
          </w:p>
        </w:tc>
      </w:tr>
      <w:tr>
        <w:trPr>
          <w:cantSplit/>
        </w:trPr>
        <w:tc>
          <w:tcPr>
            <w:tcW w:type="dxa" w:w="15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金额与签约</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签约信息</w:t>
            </w:r>
          </w:p>
        </w:tc>
        <w:tc>
          <w:tcPr>
            <w:tcW w:type="dxa" w:w="36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合同编号、模板版本、签署状态、签署方式、发送时间、签署时间、文件哈希</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已签合同不可覆盖；重签生成新合同版本并保留原文件、原因和失效时间。</w:t>
            </w:r>
          </w:p>
        </w:tc>
      </w:tr>
      <w:tr>
        <w:trPr>
          <w:cantSplit/>
        </w:trPr>
        <w:tc>
          <w:tcPr>
            <w:tcW w:type="dxa" w:w="15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金额与签约</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付款信息</w:t>
            </w:r>
          </w:p>
        </w:tc>
        <w:tc>
          <w:tcPr>
            <w:tcW w:type="dxa" w:w="36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付款计划、应付日期、应付金额、实收金额、支付方式、交易号、凭证、回调时间</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支付状态以服务端回调为准；后台手动付款必须上传凭证并经过权限与幂等校验。</w:t>
            </w:r>
          </w:p>
        </w:tc>
      </w:tr>
      <w:tr>
        <w:trPr>
          <w:cantSplit/>
        </w:trPr>
        <w:tc>
          <w:tcPr>
            <w:tcW w:type="dxa" w:w="15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履约进度</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迷你仓履约</w:t>
            </w:r>
          </w:p>
        </w:tc>
        <w:tc>
          <w:tcPr>
            <w:tcW w:type="dxa" w:w="36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仓位锁定、合同生效、付款确认、门禁开通、起租、续租/转仓/退租完成</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节点来自仓位、合同、支付和门禁服务；节点失败显示原因、任务号和重试入口。</w:t>
            </w:r>
          </w:p>
        </w:tc>
      </w:tr>
      <w:tr>
        <w:trPr>
          <w:cantSplit/>
        </w:trPr>
        <w:tc>
          <w:tcPr>
            <w:tcW w:type="dxa" w:w="15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履约进度</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迷你箱履约</w:t>
            </w:r>
          </w:p>
        </w:tc>
        <w:tc>
          <w:tcPr>
            <w:tcW w:type="dxa" w:w="36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箱资产、配对、取空箱、交箱、运输、入库、召回、归还</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显示箱号、运单号、预约时段、执行人员和节点时间；与工单小程序回传一致。</w:t>
            </w:r>
          </w:p>
        </w:tc>
      </w:tr>
      <w:tr>
        <w:trPr>
          <w:cantSplit/>
        </w:trPr>
        <w:tc>
          <w:tcPr>
            <w:tcW w:type="dxa" w:w="15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履约进度</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衍生商品履约</w:t>
            </w:r>
          </w:p>
        </w:tc>
        <w:tc>
          <w:tcPr>
            <w:tcW w:type="dxa" w:w="36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库存锁定、拣货、出库、运单、运输、签收及售后</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库存和物流由服务端回源；轨迹失败显示最后同步时间，不清空历史节点。</w:t>
            </w:r>
          </w:p>
        </w:tc>
      </w:tr>
      <w:tr>
        <w:trPr>
          <w:cantSplit/>
        </w:trPr>
        <w:tc>
          <w:tcPr>
            <w:tcW w:type="dxa" w:w="15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操作记录</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审计时间线</w:t>
            </w:r>
          </w:p>
        </w:tc>
        <w:tc>
          <w:tcPr>
            <w:tcW w:type="dxa" w:w="36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时间、操作者、角色/系统、动作、对象、变更前后、原因、结果、requestId</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按时间倒序；状态和金额变更不可删除，敏感值在日志中脱敏，支持按动作筛选。</w:t>
            </w:r>
          </w:p>
        </w:tc>
      </w:tr>
    </w:tbl>
    <w:p>
      <w:pPr>
        <w:spacing w:after="0"/>
      </w:pPr>
    </w:p>
    <w:p>
      <w:pPr>
        <w:pStyle w:val="Heading2"/>
      </w:pPr>
      <w:r>
        <w:t>5.6 底部动作和状态控制</w:t>
      </w:r>
    </w:p>
    <w:tbl>
      <w:tblPr>
        <w:tblStyle w:val="TableGrid"/>
        <w:tblW w:type="dxa" w:w="10224"/>
        <w:jc w:val="center"/>
        <w:tblLayout w:type="fixed"/>
        <w:tblLook w:firstColumn="1" w:firstRow="1" w:lastColumn="0" w:lastRow="0" w:noHBand="0" w:noVBand="1" w:val="04A0"/>
      </w:tblPr>
      <w:tblGrid>
        <w:gridCol w:w="1944"/>
        <w:gridCol w:w="2232"/>
        <w:gridCol w:w="3528"/>
        <w:gridCol w:w="252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5"/>
              </w:rPr>
              <w:t>动作</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5"/>
              </w:rPr>
              <w:t>角色</w:t>
            </w:r>
          </w:p>
        </w:tc>
        <w:tc>
          <w:tcPr>
            <w:tcW w:type="dxa" w:w="3528"/>
            <w:shd w:fill="17365D"/>
            <w:tcMar>
              <w:top w:w="75" w:type="dxa"/>
              <w:start w:w="100" w:type="dxa"/>
              <w:bottom w:w="75" w:type="dxa"/>
              <w:end w:w="100" w:type="dxa"/>
            </w:tcMar>
            <w:vAlign w:val="center"/>
          </w:tcPr>
          <w:p>
            <w:r>
              <w:rPr>
                <w:rFonts w:ascii="Calibri" w:hAnsi="Calibri" w:eastAsia="Microsoft YaHei"/>
                <w:b/>
                <w:color w:val="FFFFFF"/>
                <w:sz w:val="15"/>
              </w:rPr>
              <w:t>前置条件</w:t>
            </w:r>
          </w:p>
        </w:tc>
        <w:tc>
          <w:tcPr>
            <w:tcW w:type="dxa" w:w="2520"/>
            <w:shd w:fill="17365D"/>
            <w:tcMar>
              <w:top w:w="75" w:type="dxa"/>
              <w:start w:w="100" w:type="dxa"/>
              <w:bottom w:w="75" w:type="dxa"/>
              <w:end w:w="100" w:type="dxa"/>
            </w:tcMar>
            <w:vAlign w:val="center"/>
          </w:tcPr>
          <w:p>
            <w:r>
              <w:rPr>
                <w:rFonts w:ascii="Calibri" w:hAnsi="Calibri" w:eastAsia="Microsoft YaHei"/>
                <w:b/>
                <w:color w:val="FFFFFF"/>
                <w:sz w:val="15"/>
              </w:rPr>
              <w:t>执行结果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关闭详情</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始终可用</w:t>
            </w:r>
          </w:p>
        </w:tc>
        <w:tc>
          <w:tcPr>
            <w:tcW w:type="dxa" w:w="35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无未保存输入</w:t>
            </w:r>
          </w:p>
        </w:tc>
        <w:tc>
          <w:tcPr>
            <w:tcW w:type="dxa" w:w="252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关闭抽屉并保留列表筛选、分页和滚动位置，不改变订单。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后台手动付款</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财务或获授权运营人员</w:t>
            </w:r>
          </w:p>
        </w:tc>
        <w:tc>
          <w:tcPr>
            <w:tcW w:type="dxa" w:w="35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待付款/部分付款；合同和审批条件已满足；金额大于0</w:t>
            </w:r>
          </w:p>
        </w:tc>
        <w:tc>
          <w:tcPr>
            <w:tcW w:type="dxa" w:w="252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打开付款表单，填写实收金额、币种、支付方式、到账时间、交易参考号、凭证和备注；提交clientRequestId。</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提交或通过审批</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审批人</w:t>
            </w:r>
          </w:p>
        </w:tc>
        <w:tc>
          <w:tcPr>
            <w:tcW w:type="dxa" w:w="35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草稿/待审批；价格、折扣、库存和合同模板有效</w:t>
            </w:r>
          </w:p>
        </w:tc>
        <w:tc>
          <w:tcPr>
            <w:tcW w:type="dxa" w:w="252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审批意见必填；通过后冻结priceVersion并触发签约或付款任务。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发送或重发合同</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销售/运营</w:t>
            </w:r>
          </w:p>
        </w:tc>
        <w:tc>
          <w:tcPr>
            <w:tcW w:type="dxa" w:w="35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待签署或发送失败；合同版本有效</w:t>
            </w:r>
          </w:p>
        </w:tc>
        <w:tc>
          <w:tcPr>
            <w:tcW w:type="dxa" w:w="252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频控发送；重发沿用同一合同版本，重签必须生成新版本。</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取消订单</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负责人或管理员</w:t>
            </w:r>
          </w:p>
        </w:tc>
        <w:tc>
          <w:tcPr>
            <w:tcW w:type="dxa" w:w="35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未完成；根据支付、合同和履约状态允许取消</w:t>
            </w:r>
          </w:p>
        </w:tc>
        <w:tc>
          <w:tcPr>
            <w:tcW w:type="dxa" w:w="252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必须填写原因；服务端生成库存释放、退款、合同失效和履约撤销等补偿任务。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查看物流</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拥有订单查看权限</w:t>
            </w:r>
          </w:p>
        </w:tc>
        <w:tc>
          <w:tcPr>
            <w:tcW w:type="dxa" w:w="35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迷你箱或商品订单存在运单/物流任务</w:t>
            </w:r>
          </w:p>
        </w:tc>
        <w:tc>
          <w:tcPr>
            <w:tcW w:type="dxa" w:w="252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进入履约页签或物流详情；回源查询最新轨迹并显示最后同步时间。</w:t>
            </w:r>
          </w:p>
        </w:tc>
      </w:tr>
    </w:tbl>
    <w:p>
      <w:pPr>
        <w:spacing w:after="0"/>
      </w:pPr>
    </w:p>
    <w:p>
      <w:pPr>
        <w:pStyle w:val="ListBullet"/>
      </w:pPr>
      <w:r>
        <w:t>底部只显示allowedActions返回的主动作和次动作；按钮文案与actionCode固定映射</w:t>
      </w:r>
    </w:p>
    <w:p>
      <w:pPr>
        <w:pStyle w:val="ListBullet"/>
      </w:pPr>
      <w:r>
        <w:t>动作提交同时携带orderId、expectedVersion和clientRequestId；后端重复校验角色、dataScope、状态和业务前置</w:t>
      </w:r>
    </w:p>
    <w:p>
      <w:pPr>
        <w:pStyle w:val="ListBullet"/>
      </w:pPr>
      <w:r>
        <w:t>请求进行中禁用同一动作；超时后先按clientRequestId查询结果，不允许直接重复扣款或重复取消</w:t>
      </w:r>
    </w:p>
    <w:p>
      <w:pPr>
        <w:pStyle w:val="ListBullet"/>
      </w:pPr>
      <w:r>
        <w:t>动作部分成功时显示已完成副作用、失败任务和补偿入口，订单主状态由服务端重新聚合</w:t>
      </w:r>
    </w:p>
    <w:p>
      <w:pPr>
        <w:pStyle w:val="Heading2"/>
      </w:pPr>
      <w:r>
        <w:t>5.7 后台手动付款操作</w:t>
      </w:r>
    </w:p>
    <w:tbl>
      <w:tblPr>
        <w:tblStyle w:val="TableGrid"/>
        <w:tblW w:type="dxa" w:w="10224"/>
        <w:jc w:val="center"/>
        <w:tblLayout w:type="fixed"/>
        <w:tblLook w:firstColumn="1" w:firstRow="1" w:lastColumn="0" w:lastRow="0" w:noHBand="0" w:noVBand="1" w:val="04A0"/>
      </w:tblPr>
      <w:tblGrid>
        <w:gridCol w:w="1584"/>
        <w:gridCol w:w="1800"/>
        <w:gridCol w:w="1584"/>
        <w:gridCol w:w="1224"/>
        <w:gridCol w:w="4032"/>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4"/>
              </w:rPr>
              <w:t>字段ID</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字段</w:t>
            </w:r>
          </w:p>
        </w:tc>
        <w:tc>
          <w:tcPr>
            <w:tcW w:type="dxa" w:w="1584"/>
            <w:shd w:fill="17365D"/>
            <w:tcMar>
              <w:top w:w="75" w:type="dxa"/>
              <w:start w:w="100" w:type="dxa"/>
              <w:bottom w:w="75" w:type="dxa"/>
              <w:end w:w="100" w:type="dxa"/>
            </w:tcMar>
            <w:vAlign w:val="center"/>
          </w:tcPr>
          <w:p>
            <w:r>
              <w:rPr>
                <w:rFonts w:ascii="Calibri" w:hAnsi="Calibri" w:eastAsia="Microsoft YaHei"/>
                <w:b/>
                <w:color w:val="FFFFFF"/>
                <w:sz w:val="14"/>
              </w:rPr>
              <w:t>控件</w:t>
            </w:r>
          </w:p>
        </w:tc>
        <w:tc>
          <w:tcPr>
            <w:tcW w:type="dxa" w:w="1224"/>
            <w:shd w:fill="17365D"/>
            <w:tcMar>
              <w:top w:w="75" w:type="dxa"/>
              <w:start w:w="100" w:type="dxa"/>
              <w:bottom w:w="75" w:type="dxa"/>
              <w:end w:w="100" w:type="dxa"/>
            </w:tcMar>
            <w:vAlign w:val="center"/>
          </w:tcPr>
          <w:p>
            <w:r>
              <w:rPr>
                <w:rFonts w:ascii="Calibri" w:hAnsi="Calibri" w:eastAsia="Microsoft YaHei"/>
                <w:b/>
                <w:color w:val="FFFFFF"/>
                <w:sz w:val="14"/>
              </w:rPr>
              <w:t>必填</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4"/>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OS-OPS-PRD-05-DP01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收款金额</w:t>
            </w:r>
          </w:p>
        </w:tc>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金额输入</w:t>
            </w:r>
          </w:p>
        </w:tc>
        <w:tc>
          <w:tcPr>
            <w:tcW w:type="dxa" w:w="12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必填</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大于0且不超过待收金额；按订单币种精度保存最小货币单位。</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OS-OPS-PRD-05-DP02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币种</w:t>
            </w:r>
          </w:p>
        </w:tc>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只读或下拉</w:t>
            </w:r>
          </w:p>
        </w:tc>
        <w:tc>
          <w:tcPr>
            <w:tcW w:type="dxa" w:w="12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必填</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默认订单币种；跨币种收款需专用权限并保存汇率、来源和折算金额。</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OS-OPS-PRD-05-DP03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付款方式</w:t>
            </w:r>
          </w:p>
        </w:tc>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下拉选择</w:t>
            </w:r>
          </w:p>
        </w:tc>
        <w:tc>
          <w:tcPr>
            <w:tcW w:type="dxa" w:w="12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必填</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现金、转账、POS或其他已发布字典；不同方式联动凭证要求。</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OS-OPS-PRD-05-DP04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到账时间</w:t>
            </w:r>
          </w:p>
        </w:tc>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日期时间</w:t>
            </w:r>
          </w:p>
        </w:tc>
        <w:tc>
          <w:tcPr>
            <w:tcW w:type="dxa" w:w="12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必填</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不得晚于当前服务器时间；跨账期登记须填写原因并执行财务权限校验。</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OS-OPS-PRD-05-DP05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交易参考号</w:t>
            </w:r>
          </w:p>
        </w:tc>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文本框</w:t>
            </w:r>
          </w:p>
        </w:tc>
        <w:tc>
          <w:tcPr>
            <w:tcW w:type="dxa" w:w="12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条件必填</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转账、POS等非现金方式必填；同一收款主体内唯一，用于防重。</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OS-OPS-PRD-05-DP06</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付款凭证</w:t>
            </w:r>
          </w:p>
        </w:tc>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附件上传</w:t>
            </w:r>
          </w:p>
        </w:tc>
        <w:tc>
          <w:tcPr>
            <w:tcW w:type="dxa" w:w="12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条件必填</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非现金方式至少1份；支持JPG、PNG、PDF，完成扫描后才能提交。</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OS-OPS-PRD-05-DP07</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付款人</w:t>
            </w:r>
          </w:p>
        </w:tc>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文本框</w:t>
            </w:r>
          </w:p>
        </w:tc>
        <w:tc>
          <w:tcPr>
            <w:tcW w:type="dxa" w:w="12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选填</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保存原始值，列表和导出按权限脱敏。</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OS-OPS-PRD-05-DP08</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备注与原因</w:t>
            </w:r>
          </w:p>
        </w:tc>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多行文本</w:t>
            </w:r>
          </w:p>
        </w:tc>
        <w:tc>
          <w:tcPr>
            <w:tcW w:type="dxa" w:w="12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必填</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说明线下收款渠道、核对结果或补录原因，最多500字。</w:t>
            </w:r>
          </w:p>
        </w:tc>
      </w:tr>
    </w:tbl>
    <w:p>
      <w:pPr>
        <w:spacing w:after="0"/>
      </w:pPr>
    </w:p>
    <w:p>
      <w:pPr>
        <w:pStyle w:val="ListBullet"/>
      </w:pPr>
      <w:r>
        <w:t>提交后生成不可变paymentId和付款凭证记录，更新实收、待收及付款状态，并追加操作日志</w:t>
      </w:r>
    </w:p>
    <w:p>
      <w:pPr>
        <w:pStyle w:val="ListBullet"/>
      </w:pPr>
      <w:r>
        <w:t>累计实收等于应付时进入已付款；小于应付时进入部分付款；超额收款必须转入专门的预收或退款流程</w:t>
      </w:r>
    </w:p>
    <w:p>
      <w:pPr>
        <w:pStyle w:val="ListBullet"/>
      </w:pPr>
      <w:r>
        <w:t>手动付款成功后发布Payment.Confirmed.v1，由合同和履约服务根据业务条件继续处理</w:t>
      </w:r>
    </w:p>
    <w:p>
      <w:pPr>
        <w:pStyle w:val="ListBullet"/>
      </w:pPr>
      <w:r>
        <w:t>财务冲销不得编辑原付款记录，必须创建反向记录并重新聚合订单付款状态</w:t>
      </w:r>
    </w:p>
    <w:p>
      <w:pPr>
        <w:pStyle w:val="Heading2"/>
      </w:pPr>
      <w:r>
        <w:t>5.8 详情接口与验收</w:t>
      </w:r>
    </w:p>
    <w:tbl>
      <w:tblPr>
        <w:tblStyle w:val="TableGrid"/>
        <w:tblW w:type="dxa" w:w="10224"/>
        <w:jc w:val="center"/>
        <w:tblLayout w:type="fixed"/>
        <w:tblLook w:firstColumn="1" w:firstRow="1" w:lastColumn="0" w:lastRow="0" w:noHBand="0" w:noVBand="1" w:val="04A0"/>
      </w:tblPr>
      <w:tblGrid>
        <w:gridCol w:w="1728"/>
        <w:gridCol w:w="4032"/>
        <w:gridCol w:w="446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5"/>
              </w:rPr>
              <w:t>路径</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5"/>
              </w:rPr>
              <w:t>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详情聚合</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/ops/v1/orders/{id}</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返回summary、pricing、contract、paymentSummary、fulfillmentSummary、timeline、version和allowedActions。</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页签明细</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/ops/v1/orders/{id}/details/{tab}</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tab为profile、finance-contract、fulfillment或audit；执行字段级权限和脱敏。</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手动付款</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/ops/v1/orders/{id}/payments/manual</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clientRequestId幂等、expectedVersion并发控制、凭证扫描完成、金额回源校验。</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操作动作</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POST /ops/v1/orders/{id}/actions/{action}</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审批、取消、重发合同等按actionCode执行状态与副作用校验。</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详情更新事件</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OrderDetail.Changed.v1</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携带orderId、version、changedSections和occurredAt，前端只刷新受影响区域。</w:t>
            </w:r>
          </w:p>
        </w:tc>
      </w:tr>
    </w:tbl>
    <w:p>
      <w:pPr>
        <w:spacing w:after="0"/>
      </w:pPr>
    </w:p>
    <w:p>
      <w:pPr>
        <w:pStyle w:val="ListBullet"/>
      </w:pPr>
      <w:r>
        <w:t>顶部应付金额等于金额页签应付合计，付款状态可由付款记录复算</w:t>
      </w:r>
    </w:p>
    <w:p>
      <w:pPr>
        <w:pStyle w:val="ListBullet"/>
      </w:pPr>
      <w:r>
        <w:t>节点时间轴、合同状态、付款状态和履约状态与各页签最后有效记录一致</w:t>
      </w:r>
    </w:p>
    <w:p>
      <w:pPr>
        <w:pStyle w:val="ListBullet"/>
      </w:pPr>
      <w:r>
        <w:t>从列表打开、关闭详情后，筛选、分页、排序和滚动位置保持不变</w:t>
      </w:r>
    </w:p>
    <w:p>
      <w:pPr>
        <w:pStyle w:val="ListBullet"/>
      </w:pPr>
      <w:r>
        <w:t>不同产品线和订单类型只展示适用字段与节点，关联编号均可回源且不可串单</w:t>
      </w:r>
    </w:p>
    <w:p>
      <w:pPr>
        <w:pStyle w:val="ListBullet"/>
      </w:pPr>
      <w:r>
        <w:t>直接调用隐藏动作返回403或409且无副作用，重复clientRequestId返回首次付款或动作结果</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OS-OPS-PRD-05-FP01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新增订单</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销售订单优先从OP转化；人工补录需记录来源和原因。</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OS-OPS-PRD-05-FP02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查看订单详情</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集中查看订单摘要、金额签约、履约进度、操作记录及当前允许动作。</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OS-OPS-PRD-05-FP03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提交审批</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校验价格、折扣、库存、合同模板和付款计划。</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OS-OPS-PRD-05-FP04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更新订单</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仅allowedActions允许的字段可编辑，金额变化生成新价格版本。</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OS-OPS-PRD-05-FP05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取消订单</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检查支付、合同、库存和履约副作用并执行补偿。</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OS-OPS-PRD-05-FP06</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查看物流</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迷你箱订单显示箱号、预约、运单和节点时间。</w:t>
            </w:r>
          </w:p>
        </w:tc>
      </w:tr>
    </w:tbl>
    <w:p>
      <w:pPr>
        <w:spacing w:after="0"/>
      </w:pPr>
    </w:p>
    <w:p>
      <w:pPr>
        <w:pStyle w:val="Heading2"/>
      </w:pPr>
      <w:r>
        <w:t>6.1 新增订单</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OS-OPS-PRD-05-FP01。功能目的为销售订单优先从OP转化；人工补录需记录来源和原因。</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关联销售机会、订单类型、负责人、订单状态、产品线、店铺或仓点、仓位或产品、数量、起租日期、租期、到期日期、库存处理；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服务端使用clientRequestId幂等校验，在事务内生成业务编号、主对象、初始状态和审计记录；事务提交后发布领域事件。销售订单优先从OP转化；人工补录需记录来源和原因。</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销售机会转订单必须保持sourceLeadId和opportunityId；订单金额=原价-优惠+服务费+保险+按金，后端重新计算；已签署合同或已付款订单的关键字段不得直接修改。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页面提示“新增订单成功”，刷新对象状态、version、allowedActions、关联对象和时间线；如产生异步任务，同时显示任务编号和进度入口。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客户小程序展示本人订单及allowedActions。跨端消息只携带业务编号，接收端打开后重新鉴权并查询最新状态。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在允许状态下完成新增订单时仅产生一次预期数据变化和一次审计记录；越权、错误状态、重复提交及版本冲突均不得产生重复对象或越级状态。</w:t>
      </w:r>
    </w:p>
    <w:p>
      <w:pPr>
        <w:pStyle w:val="Heading2"/>
      </w:pPr>
      <w:r>
        <w:t>6.2 查看订单详情</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OS-OPS-PRD-05-FP02。功能目的为集中查看订单摘要、金额签约、履约进度、操作记录及当前允许动作。</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从卡片、列表或关联编号进入，加载订单类型、负责人、订单状态、店铺或仓点、起租日期、到期日期、优惠金额、订单备注、备注、订单编号及时间线；切换页签或筛选不改变主对象，返回时保留来源页条件。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/ops/v1/orders；返回version、关联对象、时间线和allowedActions。集中查看订单摘要、金额签约、履约进度、操作记录及当前允许动作。</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销售机会转订单必须保持sourceLeadId和opportunityId；订单金额=原价-优惠+服务费+保险+按金，后端重新计算；已签署合同或已付款订单的关键字段不得直接修改。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界面完成查看订单详情并显示最新数据、截止时间、关联对象和允许操作；查询本身不改变业务状态。涉及敏感原文查看时单独记录访问审计。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小程序支付结果以服务端回调为准。跨端消息只携带业务编号，接收端打开后重新鉴权并查询最新状态。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查看订单详情只返回dataScope内且按权限脱敏的数据；刷新前后无业务写入，筛选、详情和导出对同一对象的字段值一致。</w:t>
      </w:r>
    </w:p>
    <w:p>
      <w:pPr>
        <w:pStyle w:val="Heading2"/>
      </w:pPr>
      <w:r>
        <w:t>6.3 提交审批</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OS-OPS-PRD-05-FP03。功能目的为校验价格、折扣、库存、合同模板和付款计划。</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具备审批、财务或复核权限的人员；从待办中心、列表行操作或详情页审批区进入。入口显示前先校验菜单权限、动作权限和数据范围。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详情页展示申请信息、金额/附件、历史意见及订单类型、负责人、订单状态、店铺或仓点、起租日期、到期日期、优惠金额、订单备注、备注、订单编号；选择通过或拒绝，拒绝原因必填，提交前二次确认。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/ops/v1/orders/{id}/actions/{action}，校验权限、当前状态、expectedVersion和业务不变量，在事务中写入状态及时间线。校验价格、折扣、库存、合同模板和付款计划。</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销售机会转订单必须保持sourceLeadId和opportunityId；订单金额=原价-优惠+服务费+保险+按金，后端重新计算。所有校验必须由服务端再次执行，前端校验只用于即时反馈。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页面提示“提交审批成功”，刷新对象状态、version、allowedActions、关联对象和时间线；如产生异步任务，同时显示任务编号和进度入口。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仓位、预约、迷你箱和工单状态通过关联编号回写订单时间线。跨端消息只携带业务编号，接收端打开后重新鉴权并查询最新状态。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在允许状态下完成提交审批时仅产生一次预期数据变化和一次审计记录；越权、错误状态、重复提交及版本冲突均不得产生重复对象或越级状态。</w:t>
      </w:r>
    </w:p>
    <w:p>
      <w:pPr>
        <w:pStyle w:val="Heading2"/>
      </w:pPr>
      <w:r>
        <w:t>6.4 更新订单</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OS-OPS-PRD-05-FP04。功能目的为仅allowedActions允许的字段可编辑，金额变化生成新价格版本。</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在详情页执行更新订单，填写或核对订单类型、负责人、订单状态、店铺或仓点、起租日期、到期日期、优惠金额、订单备注、备注、订单编号；界面随步骤显示当前节点、下一步和可撤回条件。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/ops/v1/orders/{id}/actions/{action}，校验权限、当前状态、expectedVersion和业务不变量，在事务中写入状态及时间线。仅allowedActions允许的字段可编辑，金额变化生成新价格版本。</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销售机会转订单必须保持sourceLeadId和opportunityId；订单金额=原价-优惠+服务费+保险+按金，后端重新计算；已签署合同或已付款订单的关键字段不得直接修改。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页面提示“更新订单成功”，刷新对象状态、version、allowedActions、关联对象和时间线；如产生异步任务，同时显示任务编号和进度入口。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客户小程序展示本人订单及allowedActions。跨端消息只携带业务编号，接收端打开后重新鉴权并查询最新状态。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在允许状态下完成更新订单时仅产生一次预期数据变化和一次审计记录；越权、错误状态、重复提交及版本冲突均不得产生重复对象或越级状态。</w:t>
      </w:r>
    </w:p>
    <w:p>
      <w:pPr>
        <w:pStyle w:val="Heading2"/>
      </w:pPr>
      <w:r>
        <w:t>6.5 取消订单</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OS-OPS-PRD-05-FP05。功能目的为检查支付、合同、库存和履约副作用并执行补偿。</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在详情或行操作中触发取消订单，界面展示当前状态、目标状态、影响范围和原因；高风险动作二次确认。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/ops/v1/orders/{id}/actions/{action}，校验权限、当前状态、expectedVersion和业务不变量，在事务中写入状态及时间线。检查支付、合同、库存和履约副作用并执行补偿。</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销售机会转订单必须保持sourceLeadId和opportunityId；订单金额=原价-优惠+服务费+保险+按金，后端重新计算；库存锁定必须有过期时间，取消或支付超时自动释放。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页面提示“取消订单成功”，刷新对象状态、version、allowedActions、关联对象和时间线；如产生异步任务，同时显示任务编号和进度入口。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小程序支付结果以服务端回调为准。跨端消息只携带业务编号，接收端打开后重新鉴权并查询最新状态。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在允许状态下完成取消订单时仅产生一次预期数据变化和一次审计记录；越权、错误状态、重复提交及版本冲突均不得产生重复对象或越级状态。</w:t>
      </w:r>
    </w:p>
    <w:p>
      <w:pPr>
        <w:pStyle w:val="Heading2"/>
      </w:pPr>
      <w:r>
        <w:t>6.6 查看物流</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OS-OPS-PRD-05-FP06。功能目的为迷你箱订单显示箱号、预约、运单和节点时间。</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从卡片、列表或关联编号进入，加载订单类型、负责人、订单状态、店铺或仓点、起租日期、到期日期、优惠金额、订单备注、备注、订单编号及时间线；切换页签或筛选不改变主对象，返回时保留来源页条件。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/ops/v1/orders；返回version、关联对象、时间线和allowedActions。迷你箱订单显示箱号、预约、运单和节点时间。</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查询、详情、统计和下钻必须使用同一dataScope；敏感字段按权限脱敏；刷新时回源获取最新状态。。所有校验必须由服务端再次执行，前端校验只用于即时反馈。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界面完成查看物流并显示最新数据、截止时间、关联对象和允许操作；查询本身不改变业务状态。涉及敏感原文查看时单独记录访问审计。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仓位、预约、迷你箱和工单状态通过关联编号回写订单时间线。跨端消息只携带业务编号，接收端打开后重新鉴权并查询最新状态。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查看物流只返回dataScope内且按权限脱敏的数据；刷新前后无业务写入，筛选、详情和导出对同一对象的字段值一致。</w:t>
      </w:r>
    </w:p>
    <w:p>
      <w:pPr>
        <w:pStyle w:val="Heading2"/>
      </w:pPr>
      <w:r>
        <w:t>6.7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订单中心</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草稿→待审批→待签约→待支付→待履约→履约中→已完成；任一未完成阶段可按规则取消；支付或履约异常进入异常待处理</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销售机会转订单必须保持sourceLeadId和opportunityId</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OS-OPS-PRD-05-R02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订单金额=原价-优惠+服务费+保险+按金，后端重新计算</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库存锁定必须有过期时间，取消或支付超时自动释放</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OS-OPS-PRD-05-R04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已签署合同或已付款订单的关键字段不得直接修改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订单状态由签约、支付和履约子域汇总，不由前端任意赋值</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OS-OPS-PRD-05-R06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OS-OPS-PRD-05-R08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OS-OPS-PRD-05-R10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BPMN流程与节点责任</w:t>
      </w:r>
    </w:p>
    <w:tbl>
      <w:tblPr>
        <w:tblStyle w:val="TableGrid"/>
        <w:tblW w:type="dxa" w:w="10656"/>
        <w:jc w:val="center"/>
        <w:tblLayout w:type="fixed"/>
        <w:tblLook w:firstColumn="1" w:firstRow="1" w:lastColumn="0" w:lastRow="0" w:noHBand="0" w:noVBand="1" w:val="04A0"/>
      </w:tblPr>
      <w:tblGrid>
        <w:gridCol w:w="2232"/>
        <w:gridCol w:w="4752"/>
        <w:gridCol w:w="3672"/>
      </w:tblGrid>
      <w:tr>
        <w:trPr>
          <w:tblHeader/>
        </w:trPr>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泳道</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6"/>
              </w:rPr>
              <w:t>节点责任</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输出</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客户小程序或AIWA</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提交申请、确认方案、签署或补充资料</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clientRequestId、客户确认和附件</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运营后台</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校验、受理、分派、审批、状态推进和异常处理</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业务编号、状态、allowedActions和审计</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工单小程序或执行团队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接单、签到、扫码、处理和上报</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节点时间、位置、照片和处理结果</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领域服务与第三方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事务、库存、付款、签约、物流和通知</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回调、事件、重试任务和最终结果</w:t>
            </w:r>
          </w:p>
        </w:tc>
      </w:tr>
    </w:tbl>
    <w:p>
      <w:pPr>
        <w:spacing w:after="0"/>
      </w:pPr>
    </w:p>
    <w:p>
      <w:pPr>
        <w:jc w:val="center"/>
      </w:pPr>
      <w:r>
        <w:drawing>
          <wp:inline xmlns:a="http://schemas.openxmlformats.org/drawingml/2006/main" xmlns:pic="http://schemas.openxmlformats.org/drawingml/2006/picture">
            <wp:extent cx="6080760" cy="2900523"/>
            <wp:docPr id="4" name="Picture 4"/>
            <wp:cNvGraphicFramePr>
              <a:graphicFrameLocks noChangeAspect="1"/>
            </wp:cNvGraphicFramePr>
            <a:graphic>
              <a:graphicData uri="http://schemas.openxmlformats.org/drawingml/2006/picture">
                <pic:pic>
                  <pic:nvPicPr>
                    <pic:cNvPr id="0" name="05-c1ce8f60-0-1.png"/>
                    <pic:cNvPicPr/>
                  </pic:nvPicPr>
                  <pic:blipFill>
                    <a:blip r:embed="rId14"/>
                    <a:stretch>
                      <a:fillRect/>
                    </a:stretch>
                  </pic:blipFill>
                  <pic:spPr>
                    <a:xfrm>
                      <a:off x="0" y="0"/>
                      <a:ext cx="6080760" cy="2900523"/>
                    </a:xfrm>
                    <a:prstGeom prst="rect"/>
                  </pic:spPr>
                </pic:pic>
              </a:graphicData>
            </a:graphic>
          </wp:inline>
        </w:drawing>
      </w:r>
    </w:p>
    <w:p>
      <w:pPr>
        <w:jc w:val="center"/>
      </w:pPr>
      <w:r>
        <w:rPr>
          <w:rFonts w:ascii="Calibri" w:hAnsi="Calibri" w:eastAsia="Microsoft YaHei"/>
          <w:b w:val="0"/>
          <w:color w:val="667085"/>
          <w:sz w:val="17"/>
        </w:rPr>
        <w:t>图 8-1  订单中心业务流程</w:t>
      </w:r>
    </w:p>
    <w:p>
      <w:r>
        <w:t>可编辑BPMN源文件：requirements/bpmn/签约付款.bpmn。流程分支、异常补偿和人工复核必须与本文档状态机保持一致。</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客户小程序展示本人订单及allowedActions</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OS-OPS-PRD-05-X02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小程序支付结果以服务端回调为准</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仓位、预约、迷你箱和工单状态通过关联编号回写订单时间线</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/ops/v1/orders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/ops/v1/orders/{id}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/ops/v1/orders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/ops/v1/orders/{id}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/ops/v1/orders/{id}/actions/{action}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订单中心.Changed.v1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OS-OPS-PRD-05-AC02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OS-OPS-PRD-05-AC04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OS-OPS-PRD-05-AC06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OS-OPS-PRD-05-AC08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订单详情顶部摘要、四个页签、节点时间轴和底部动作均使用同一orderId、version和allowedActions。</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OS-OPS-PRD-05-AC10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顶部应付金额、金额构成、付款计划和付款记录可双向对账，支付状态以服务端回调或财务确认结果为准。</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OS-OPS-PRD-05-AC11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电子签约、支付和履约节点与各子域最后有效记录一致；重试记录、失败原因和补偿任务可追溯。</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OS-OPS-PRD-05-AC12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后台手动付款校验金额、币种、交易参考号、凭证、权限、幂等和并发，重复提交不重复入账。</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OS-OPS-PRD-05-AC13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关闭详情后保留列表筛选、分页、排序和滚动位置；不同产品线只展示适用字段和节点。</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V2.4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OS-OPS-PRD-05  |  订单中心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