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Arial" w:hAnsi="Arial" w:eastAsia="Microsoft YaHei"/>
          <w:b/>
          <w:i w:val="0"/>
          <w:color w:val="6F3F7D"/>
          <w:sz w:val="50"/>
        </w:rPr>
        <w:t>推荐码管理 PRD</w:t>
      </w:r>
    </w:p>
    <w:p>
      <w:pPr>
        <w:pStyle w:val="Subtitle"/>
      </w:pPr>
      <w:r>
        <w:rPr>
          <w:rFonts w:ascii="Arial" w:hAnsi="Arial" w:eastAsia="Microsoft YaHei"/>
          <w:b w:val="0"/>
          <w:i w:val="0"/>
          <w:color w:val="817986"/>
          <w:sz w:val="22"/>
        </w:rPr>
        <w:t>单模块需求规格 · 推荐码、推荐关系、奖励记录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rPr>
          <w:tblHeader w:val="true"/>
        </w:trPr>
        <w:tc>
          <w:tcPr>
            <w:tcW w:type="dxa" w:w="1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文档属性</w:t>
            </w:r>
          </w:p>
        </w:tc>
        <w:tc>
          <w:tcPr>
            <w:tcW w:type="dxa" w:w="7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文档编号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OS-OPS-PRD-26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产品基线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AiwaBot产品原型 v3.2 / OneStorage 运营后台 V1.1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目标读者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产品、研发、测试、数据、运营、实施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版本日期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V1.0 · 2026-08-24</w:t>
            </w:r>
          </w:p>
        </w:tc>
      </w:tr>
    </w:tbl>
    <w:p>
      <w:pPr>
        <w:spacing w:after="2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3EAF5"/>
          </w:tcPr>
          <w:p>
            <w:r>
              <w:rPr>
                <w:rFonts w:ascii="Arial" w:hAnsi="Arial" w:eastAsia="Microsoft YaHei"/>
                <w:b/>
                <w:i w:val="0"/>
                <w:color w:val="6F3F7D"/>
                <w:sz w:val="20"/>
              </w:rPr>
              <w:t>模块目标：</w:t>
            </w:r>
            <w:r>
              <w:rPr>
                <w:rFonts w:ascii="Arial" w:hAnsi="Arial" w:eastAsia="Microsoft YaHei"/>
                <w:b w:val="0"/>
                <w:i w:val="0"/>
                <w:color w:val="29242D"/>
                <w:sz w:val="20"/>
              </w:rPr>
              <w:t>管理推荐归属、使用资格、奖励和订单归因。</w:t>
            </w:r>
          </w:p>
        </w:tc>
      </w:tr>
    </w:tbl>
    <w:p>
      <w:pPr>
        <w:spacing w:after="20"/>
      </w:pPr>
    </w:p>
    <w:p>
      <w:pPr>
        <w:pStyle w:val="Heading1"/>
      </w:pPr>
      <w:r>
        <w:t>1. 需求依据与版本口径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最终集成原型：C:/工作资料2026/产品IDE目录/aiwa/AiwaBot产品原型-v3.2.html（含嵌入式 OneStorage 运营后台）。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后台基线：迷你仓/OneStorage_迷你仓运营后台原型_V1.1.html 及配套业务脚本。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客户侧基线：OneStorage_小程序原型.html；内部执行端：OneStorage_内部工单小程序原型_V1.1.html。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一期范围口径：OneStorage_一期需求逐项功能差异清单.md；既有 OSS 主数据、编号与流程优先复用。</w:t>
      </w:r>
    </w:p>
    <w:p>
      <w:pPr>
        <w:pStyle w:val="Heading1"/>
      </w:pPr>
      <w:r>
        <w:t>2. 范围与边界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rPr>
          <w:tblHeader w:val="true"/>
        </w:trPr>
        <w:tc>
          <w:tcPr>
            <w:tcW w:type="dxa" w:w="468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范围内</w:t>
            </w:r>
          </w:p>
        </w:tc>
        <w:tc>
          <w:tcPr>
            <w:tcW w:type="dxa" w:w="468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范围外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推荐码管理的列表、详情、创建、编辑和状态动作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其他功能模块主数据的直接维护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关联对象校验、跳转、附件与时间线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绕过状态机或审批的强制改值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权限、数据范围、并发、审计和异常处理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以前端缓存作为最终金额、权限或状态依据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涉及本模块的小程序/内部端交互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未授权第三方自动执行</w:t>
            </w:r>
          </w:p>
        </w:tc>
      </w:tr>
    </w:tbl>
    <w:p>
      <w:pPr>
        <w:spacing w:after="20"/>
      </w:pPr>
    </w:p>
    <w:p>
      <w:pPr>
        <w:pStyle w:val="Heading1"/>
      </w:pPr>
      <w:r>
        <w:t>3. 页面与导航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本模块覆盖：推荐码、推荐关系、奖励记录。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列表默认支持关键词、状态、负责人/门店、时间筛选；筛选条件可重置并在返回列表时保留。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详情以主对象为中心展示关联对象、允许动作、附件/凭证和审计时间线；写动作必须显式反馈成功或失败。</w:t>
      </w:r>
    </w:p>
    <w:p>
      <w:pPr>
        <w:pStyle w:val="Heading1"/>
      </w:pPr>
      <w:r>
        <w:t>4. 角色与权限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7260"/>
      </w:tblGrid>
      <w:tr>
        <w:trPr>
          <w:tblHeader w:val="true"/>
        </w:trPr>
        <w:tc>
          <w:tcPr>
            <w:tcW w:type="dxa" w:w="21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角色</w:t>
            </w:r>
          </w:p>
        </w:tc>
        <w:tc>
          <w:tcPr>
            <w:tcW w:type="dxa" w:w="72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职责与数据范围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运营管理员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跨门店配置、受理、复核与异常处理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区域/门店负责人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仅授权门店的数据和动作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业务执行人员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按分派和allowedActions执行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客户/AIWA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仅本人数据或受控工具权限</w:t>
            </w:r>
          </w:p>
        </w:tc>
      </w:tr>
    </w:tbl>
    <w:p>
      <w:pPr>
        <w:spacing w:after="20"/>
      </w:pPr>
    </w:p>
    <w:p>
      <w:pPr>
        <w:pStyle w:val="Heading1"/>
      </w:pPr>
      <w:r>
        <w:t>5. BPMN业务流程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28350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营销核销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350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 w:eastAsia="Microsoft YaHei"/>
          <w:b w:val="0"/>
          <w:i/>
          <w:color w:val="817986"/>
          <w:sz w:val="17"/>
        </w:rPr>
        <w:t>图 1  营销核销 BPMN泳道图；可编辑源文件见BPMN流程图目录</w:t>
      </w:r>
    </w:p>
    <w:p>
      <w:pPr>
        <w:pStyle w:val="Heading1"/>
      </w:pPr>
      <w:r>
        <w:t>6. 功能需求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20"/>
        <w:gridCol w:w="1800"/>
        <w:gridCol w:w="5540"/>
        <w:gridCol w:w="900"/>
      </w:tblGrid>
      <w:tr>
        <w:trPr>
          <w:tblHeader w:val="true"/>
        </w:trPr>
        <w:tc>
          <w:tcPr>
            <w:tcW w:type="dxa" w:w="112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需求ID</w:t>
            </w:r>
          </w:p>
        </w:tc>
        <w:tc>
          <w:tcPr>
            <w:tcW w:type="dxa" w:w="1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功能</w:t>
            </w:r>
          </w:p>
        </w:tc>
        <w:tc>
          <w:tcPr>
            <w:tcW w:type="dxa" w:w="554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详细规则</w:t>
            </w:r>
          </w:p>
        </w:tc>
        <w:tc>
          <w:tcPr>
            <w:tcW w:type="dxa" w:w="9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优先级</w:t>
            </w:r>
          </w:p>
        </w:tc>
      </w:tr>
      <w:tr>
        <w:trPr>
          <w:cantSplit/>
        </w:trPr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M26-01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规则1</w:t>
            </w:r>
          </w:p>
        </w:tc>
        <w:tc>
          <w:tcPr>
            <w:tcW w:type="dxa" w:w="5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推荐码唯一并配置归属、资格、次数和奖励条件。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P0</w:t>
            </w:r>
          </w:p>
        </w:tc>
      </w:tr>
      <w:tr>
        <w:trPr>
          <w:cantSplit/>
        </w:trPr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M26-02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规则2</w:t>
            </w:r>
          </w:p>
        </w:tc>
        <w:tc>
          <w:tcPr>
            <w:tcW w:type="dxa" w:w="5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服务端校验自荐、新老客、产品和门店资格。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P0</w:t>
            </w:r>
          </w:p>
        </w:tc>
      </w:tr>
      <w:tr>
        <w:trPr>
          <w:cantSplit/>
        </w:trPr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M26-03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规则3</w:t>
            </w:r>
          </w:p>
        </w:tc>
        <w:tc>
          <w:tcPr>
            <w:tcW w:type="dxa" w:w="5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退款撤销未结算奖励，已结算产生调整记录。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P0</w:t>
            </w:r>
          </w:p>
        </w:tc>
      </w:tr>
      <w:tr>
        <w:trPr>
          <w:cantSplit/>
        </w:trPr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M26-90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列表与详情</w:t>
            </w:r>
          </w:p>
        </w:tc>
        <w:tc>
          <w:tcPr>
            <w:tcW w:type="dxa" w:w="5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支持关键词、状态、门店/负责人和时间筛选；详情展示关联对象、allowedActions和审计时间线。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P0</w:t>
            </w:r>
          </w:p>
        </w:tc>
      </w:tr>
      <w:tr>
        <w:trPr>
          <w:cantSplit/>
        </w:trPr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M26-91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导入导出</w:t>
            </w:r>
          </w:p>
        </w:tc>
        <w:tc>
          <w:tcPr>
            <w:tcW w:type="dxa" w:w="5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导出继承筛选、脱敏和数据范围；正式对象导入逐行校验并返回错误。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P1</w:t>
            </w:r>
          </w:p>
        </w:tc>
      </w:tr>
    </w:tbl>
    <w:p>
      <w:pPr>
        <w:spacing w:after="20"/>
      </w:pPr>
    </w:p>
    <w:p>
      <w:pPr>
        <w:pStyle w:val="Heading1"/>
      </w:pPr>
      <w:r>
        <w:t>7. 状态机与业务不变量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50"/>
        <w:gridCol w:w="3400"/>
        <w:gridCol w:w="4310"/>
      </w:tblGrid>
      <w:tr>
        <w:trPr>
          <w:tblHeader w:val="true"/>
        </w:trPr>
        <w:tc>
          <w:tcPr>
            <w:tcW w:type="dxa" w:w="16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对象</w:t>
            </w:r>
          </w:p>
        </w:tc>
        <w:tc>
          <w:tcPr>
            <w:tcW w:type="dxa" w:w="34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状态/流转</w:t>
            </w:r>
          </w:p>
        </w:tc>
        <w:tc>
          <w:tcPr>
            <w:tcW w:type="dxa" w:w="43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不变量</w:t>
            </w:r>
          </w:p>
        </w:tc>
      </w:tr>
      <w:tr>
        <w:trPr>
          <w:cantSplit/>
        </w:trPr>
        <w:tc>
          <w:tcPr>
            <w:tcW w:type="dxa" w:w="1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推荐码管理</w:t>
            </w:r>
          </w:p>
        </w:tc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草稿/待处理→处理中→完成/取消/异常</w:t>
            </w:r>
          </w:p>
        </w:tc>
        <w:tc>
          <w:tcPr>
            <w:tcW w:type="dxa" w:w="4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实际状态以本模块规则和allowedActions为准</w:t>
            </w:r>
          </w:p>
        </w:tc>
      </w:tr>
      <w:tr>
        <w:trPr>
          <w:cantSplit/>
        </w:trPr>
        <w:tc>
          <w:tcPr>
            <w:tcW w:type="dxa" w:w="1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同步任务</w:t>
            </w:r>
          </w:p>
        </w:tc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待发送→成功/失败→重试/人工处理</w:t>
            </w:r>
          </w:p>
        </w:tc>
        <w:tc>
          <w:tcPr>
            <w:tcW w:type="dxa" w:w="4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同步失败不伪装主业务成功</w:t>
            </w:r>
          </w:p>
        </w:tc>
      </w:tr>
    </w:tbl>
    <w:p>
      <w:pPr>
        <w:spacing w:after="20"/>
      </w:pPr>
    </w:p>
    <w:p>
      <w:pPr>
        <w:pStyle w:val="Heading1"/>
      </w:pPr>
      <w:r>
        <w:t>8. 与迷你仓小程序/内部小程序交互规则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客户小程序仅查看本人客户号关联数据；员工端仅查看本人/团队授权任务。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跨端提交先落后台业务记录并返回业务编号；重复clientRequestId返回原结果。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后台状态变化以事件同步提醒；深链打开后回源校验身份、权限和最新状态。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AIWA只使用受控接口；付款、退款、审批和权限变更禁止自动完成或必须人工确认。</w:t>
      </w:r>
    </w:p>
    <w:p>
      <w:pPr>
        <w:pStyle w:val="Heading1"/>
      </w:pPr>
      <w:r>
        <w:t>9. 通用字段、接口与事件约束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</w:trPr>
        <w:tc>
          <w:tcPr>
            <w:tcW w:type="dxa" w:w="1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类别</w:t>
            </w:r>
          </w:p>
        </w:tc>
        <w:tc>
          <w:tcPr>
            <w:tcW w:type="dxa" w:w="75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要求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主键/版本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所有对象返回id、businessNo、version、createdAt、updatedAt；业务编号不可用展示文案替代。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写请求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携带clientRequestId与expectedVersion；服务端校验身份、数据范围、状态与必填。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允许动作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返回allowedActions；客户端只作展示控制，后端仍逐动作鉴权。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事件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成功提交后发布领域事件；通知、搜索、统计最终一致，详情读主域。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附件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短期签名上传；校验类型/大小/哈希/病毒；正式版本不可覆盖。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时间金额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服务器时间、Asia/Hong_Kong业务日；金额用最小货币单位并显式币种。</w:t>
            </w:r>
          </w:p>
        </w:tc>
      </w:tr>
    </w:tbl>
    <w:p>
      <w:pPr>
        <w:spacing w:after="20"/>
      </w:pPr>
    </w:p>
    <w:p>
      <w:pPr>
        <w:pStyle w:val="Heading1"/>
      </w:pPr>
      <w:r>
        <w:t>10. 异常、并发与安全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400返回字段级校验并保留输入；401/403重新登录或提示无权限；404避免泄露对象是否存在。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409 VERSION_CONFLICT要求刷新详情和allowedActions，禁止最后写入覆盖。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第三方超时/失败进入重试或人工队列；主业务未确认成功前不得向客户展示完成。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敏感字段最小化、脱敏、加密存储；原文查看、下载、导出与审批均记录审计。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列表、关联选择器、统计、搜索、导出使用同一数据范围策略。</w:t>
      </w:r>
    </w:p>
    <w:p>
      <w:pPr>
        <w:pStyle w:val="Heading1"/>
      </w:pPr>
      <w:r>
        <w:t>11. 验收标准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所有P0规则均有接口、状态机和权限测试。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重复提交不产生重复记录或重复副作用。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后台与小程序/内部端的编号、状态、金额和时间一致。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越权、版本冲突、空数据和第三方失败均有明确处理。</w:t>
      </w:r>
    </w:p>
    <w:p>
      <w:pPr>
        <w:pStyle w:val="Heading1"/>
      </w:pPr>
      <w:r>
        <w:t>12. 研发分工建议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6960"/>
      </w:tblGrid>
      <w:tr>
        <w:trPr>
          <w:tblHeader w:val="true"/>
        </w:trPr>
        <w:tc>
          <w:tcPr>
            <w:tcW w:type="dxa" w:w="24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工作包</w:t>
            </w:r>
          </w:p>
        </w:tc>
        <w:tc>
          <w:tcPr>
            <w:tcW w:type="dxa" w:w="69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负责内容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后端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领域模型、状态机、权限、接口和事件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运营后台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列表、详情、表单、动作和异常态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跨端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小程序/内部端展示、申请、通知和深链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测试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规则、并发、权限、异常和回归验收</w:t>
            </w:r>
          </w:p>
        </w:tc>
      </w:tr>
    </w:tbl>
    <w:p>
      <w:pPr>
        <w:spacing w:after="20"/>
      </w:pPr>
    </w:p>
    <w:p>
      <w:pPr>
        <w:pStyle w:val="Heading1"/>
      </w:pPr>
      <w:r>
        <w:t>13. 待业务确认与实施依赖</w:t>
      </w:r>
    </w:p>
    <w:p>
      <w:pPr>
        <w:pStyle w:val="ListBullet"/>
        <w:keepNext/>
      </w:pPr>
      <w:r>
        <w:rPr>
          <w:rFonts w:ascii="Arial" w:hAnsi="Arial" w:eastAsia="Microsoft YaHei"/>
          <w:b w:val="0"/>
          <w:i w:val="0"/>
          <w:color w:val="29242D"/>
          <w:sz w:val="20"/>
        </w:rPr>
        <w:t>状态文案、SLA/提醒阈值、审批角色、通知渠道和保留期需在开发前冻结为配置表。</w:t>
      </w:r>
    </w:p>
    <w:p>
      <w:pPr>
        <w:pStyle w:val="ListBullet"/>
        <w:keepNext/>
      </w:pPr>
      <w:r>
        <w:rPr>
          <w:rFonts w:ascii="Arial" w:hAnsi="Arial" w:eastAsia="Microsoft YaHei"/>
          <w:b w:val="0"/>
          <w:i w:val="0"/>
          <w:color w:val="29242D"/>
          <w:sz w:val="20"/>
        </w:rPr>
        <w:t>支付、电子签约、物流、WhatsApp/媒体、电话线路等仅在账号、API、模板、合规授权齐备后启用。</w:t>
      </w:r>
    </w:p>
    <w:p>
      <w:pPr>
        <w:pStyle w:val="ListBullet"/>
        <w:keepNext/>
      </w:pPr>
      <w:r>
        <w:rPr>
          <w:rFonts w:ascii="Arial" w:hAnsi="Arial" w:eastAsia="Microsoft YaHei"/>
          <w:b w:val="0"/>
          <w:i w:val="0"/>
          <w:color w:val="29242D"/>
          <w:sz w:val="20"/>
        </w:rPr>
        <w:t>现有OSS字段、枚举、编号生成和批核规则需通过样本数据再次确认；差异进入映射表，不在前端硬适配。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所有P0需求进入接口契约、状态机自动化测试与UAT；P1按一期排期和依赖评审。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Microsoft YaHei"/>
        <w:b w:val="0"/>
        <w:i w:val="0"/>
        <w:color w:val="817986"/>
        <w:sz w:val="16"/>
      </w:rPr>
      <w:t xml:space="preserve">内部资料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Microsoft YaHei"/>
        <w:b w:val="0"/>
        <w:i w:val="0"/>
        <w:color w:val="817986"/>
        <w:sz w:val="16"/>
      </w:rPr>
      <w:t>OneStorage  ·  运营后台 PRD  ·  OS-OPS-PRD-26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Microsoft YaHei" w:hAnsi="Microsoft YaHei" w:eastAsia="Microsoft YaHei"/>
      <w:color w:val="29242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0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6F3F7D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Microsoft YaHei" w:hAnsi="Microsoft YaHei" w:eastAsia="Microsoft YaHei"/>
      <w:b w:val="0"/>
      <w:i/>
      <w:iCs/>
      <w:color w:val="817986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7" w:hanging="259"/>
      <w:contextualSpacing/>
    </w:pPr>
    <w:rPr>
      <w:rFonts w:ascii="Microsoft YaHei" w:hAnsi="Microsoft YaHei" w:eastAsia="Microsoft YaHe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7" w:hanging="259"/>
      <w:contextualSpacing/>
    </w:pPr>
    <w:rPr>
      <w:rFonts w:ascii="Microsoft YaHei" w:hAnsi="Microsoft YaHei" w:eastAsia="Microsoft YaHe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推荐码管理 PRD</dc:title>
  <dc:subject>OneStorage 迷你仓运营后台 PRD</dc:subject>
  <dc:creator>OneStorage 产品组</dc:creator>
  <cp:keywords>PRD, 迷你仓, 运营后台, 小程序, BPMN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