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040"/>
        <w:jc w:val="center"/>
      </w:pPr>
      <w:r>
        <w:t>运营总览 PRD</w:t>
      </w:r>
    </w:p>
    <w:p>
      <w:pPr>
        <w:jc w:val="center"/>
      </w:pPr>
      <w:r>
        <w:rPr>
          <w:rFonts w:ascii="Calibri" w:hAnsi="Calibri" w:eastAsia="Microsoft YaHei"/>
          <w:b w:val="0"/>
          <w:color w:val="667085"/>
          <w:sz w:val="26"/>
        </w:rPr>
        <w:t>运营后台研发详细需求规格</w:t>
      </w:r>
    </w:p>
    <w:p>
      <w:pPr>
        <w:spacing w:before="440"/>
        <w:jc w:val="center"/>
      </w:pPr>
      <w:r>
        <w:rPr>
          <w:rFonts w:ascii="Calibri" w:hAnsi="Calibri" w:eastAsia="Microsoft YaHei"/>
          <w:b/>
          <w:color w:val="2E74B5"/>
          <w:sz w:val="20"/>
        </w:rPr>
        <w:t>OS-OPS-PRD-01  |  V2.3  |  2026-09-09</w:t>
      </w:r>
    </w:p>
    <w:p>
      <w:pPr>
        <w:spacing w:before="1440"/>
        <w:jc w:val="center"/>
      </w:pPr>
      <w:r>
        <w:rPr>
          <w:rFonts w:ascii="Calibri" w:hAnsi="Calibri" w:eastAsia="Microsoft YaHei"/>
          <w:b w:val="0"/>
          <w:color w:val="1F2937"/>
          <w:sz w:val="22"/>
        </w:rPr>
        <w:t>为管理层和运营人员提供统一经营视图，并支持从异常指标下钻到线索、订单、续租、仓位和工单。</w:t>
      </w:r>
    </w:p>
    <w:p>
      <w:r/>
    </w:p>
    <w:p>
      <w:pPr>
        <w:pStyle w:val="Heading1"/>
      </w:pPr>
      <w:r>
        <w:t>1 文档目标与范围</w:t>
      </w:r>
    </w:p>
    <w:p>
      <w:r>
        <w:t>为管理层和运营人员提供统一经营视图，并支持从异常指标下钻到线索、订单、续租、仓位和工单。 本文档明确页面字段、操作流程、业务规则、跨端契约、权限和验收条件，研发与测试应以本文档及已冻结的接口契约为实现依据。</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8"/>
              </w:rPr>
              <w:t>属性</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8"/>
              </w:rPr>
              <w:t>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文档编号</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OS-OPS-PRD-01</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产品基线</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AiwaBot产品原型 V3.2 与 OneStorage运营后台原型 V1.1</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目标读者</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产品、前端、后端、测试、数据、运营和实施</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版本</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V2.3  2026-09-09</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优先级口径</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P0为一期必须完成；P1须排期但不得阻塞P0主流程</w:t>
            </w:r>
          </w:p>
        </w:tc>
      </w:tr>
    </w:tbl>
    <w:p>
      <w:pPr>
        <w:spacing w:after="0"/>
      </w:pPr>
    </w:p>
    <w:p>
      <w:pPr>
        <w:pStyle w:val="Heading2"/>
      </w:pPr>
      <w:r>
        <w:t>1.1 原型界面依据</w:t>
      </w:r>
    </w:p>
    <w:p>
      <w:r>
        <w:t>本模块界面直接取自 AiwaBot产品原型-v3.2.html。真实截图及其与功能点的对应关系见第2.1节。</w:t>
      </w:r>
    </w:p>
    <w:p>
      <w:pPr>
        <w:pStyle w:val="Heading1"/>
      </w:pPr>
      <w:r>
        <w:t>2 用户角色与权限</w:t>
      </w:r>
    </w:p>
    <w:tbl>
      <w:tblPr>
        <w:tblStyle w:val="TableGrid"/>
        <w:tblW w:type="dxa" w:w="10224"/>
        <w:jc w:val="center"/>
        <w:tblLayout w:type="fixed"/>
        <w:tblLook w:firstColumn="1" w:firstRow="1" w:lastColumn="0" w:lastRow="0" w:noHBand="0" w:noVBand="1" w:val="04A0"/>
      </w:tblPr>
      <w:tblGrid>
        <w:gridCol w:w="1944"/>
        <w:gridCol w:w="2880"/>
        <w:gridCol w:w="540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角色</w:t>
            </w:r>
          </w:p>
        </w:tc>
        <w:tc>
          <w:tcPr>
            <w:tcW w:type="dxa" w:w="2880"/>
            <w:shd w:fill="17365D"/>
            <w:tcMar>
              <w:top w:w="75" w:type="dxa"/>
              <w:start w:w="100" w:type="dxa"/>
              <w:bottom w:w="75" w:type="dxa"/>
              <w:end w:w="100" w:type="dxa"/>
            </w:tcMar>
            <w:vAlign w:val="center"/>
          </w:tcPr>
          <w:p>
            <w:r>
              <w:rPr>
                <w:rFonts w:ascii="Calibri" w:hAnsi="Calibri" w:eastAsia="Microsoft YaHei"/>
                <w:b/>
                <w:color w:val="FFFFFF"/>
                <w:sz w:val="17"/>
              </w:rPr>
              <w:t>数据范围</w:t>
            </w:r>
          </w:p>
        </w:tc>
        <w:tc>
          <w:tcPr>
            <w:tcW w:type="dxa" w:w="5400"/>
            <w:shd w:fill="17365D"/>
            <w:tcMar>
              <w:top w:w="75" w:type="dxa"/>
              <w:start w:w="100" w:type="dxa"/>
              <w:bottom w:w="75" w:type="dxa"/>
              <w:end w:w="100" w:type="dxa"/>
            </w:tcMar>
            <w:vAlign w:val="center"/>
          </w:tcPr>
          <w:p>
            <w:r>
              <w:rPr>
                <w:rFonts w:ascii="Calibri" w:hAnsi="Calibri" w:eastAsia="Microsoft YaHei"/>
                <w:b/>
                <w:color w:val="FFFFFF"/>
                <w:sz w:val="17"/>
              </w:rPr>
              <w:t>主要权限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运营管理员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全部或获授权区域</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查看、创建、编辑、分派、异常处理和导出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区域或门店负责人</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所属区域或门店</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查看、复核、分派及授权状态动作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业务执行人员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本人、团队及被分派对象</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处理任务并填写业务结果</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财务或审批人员</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获授权组织</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金额确认、审批、冲销和受控导出</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系统集成主体</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接口声明范围</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按白名单调用；不可获得交互式管理员权限</w:t>
            </w:r>
          </w:p>
        </w:tc>
      </w:tr>
    </w:tbl>
    <w:p>
      <w:pPr>
        <w:spacing w:after="0"/>
      </w:pPr>
    </w:p>
    <w:p>
      <w:pPr>
        <w:pStyle w:val="Heading2"/>
      </w:pPr>
      <w:r>
        <w:t>2.1 界面与功能对应说明</w:t>
      </w:r>
    </w:p>
    <w:p>
      <w:r>
        <w:t>本节把原型中的真实界面与功能点逐一对应。截图用于确定页面区域、入口和交互位置；字段校验、状态变化和服务端处理以本PRD后续功能规格为准。</w:t>
      </w:r>
    </w:p>
    <w:p>
      <w:pPr>
        <w:jc w:val="center"/>
      </w:pPr>
      <w:r/>
    </w:p>
    <w:p>
      <w:pPr>
        <w:pStyle w:val="Caption"/>
        <w:jc w:val="center"/>
      </w:pPr>
      <w:r>
        <w:t>图 2-1  运营总览页面</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OS-OPS-PRD-01-FP01 切换统计周期；OS-OPS-PRD-01-FP02 指标口径说明；OS-OPS-PRD-01-FP03 指标下钻；OS-OPS-PRD-01-FP04 生成报告；OS-OPS-PRD-01-FP05 地图与门店下钻</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顶部为周期和范围筛选，中部为指标卡与图表，内容区提供异常、趋势和下钻入口。</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筛选变化后组件分别进入加载态；图表显示口径、截止时间和空态。点击卡片、图例或数据点时携带当前筛选下钻。</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所有行级和详情动作由当前允许操作控制；无权限时隐藏入口，直接调用接口仍返回403并记录审计。</w:t>
            </w:r>
          </w:p>
        </w:tc>
      </w:tr>
    </w:tbl>
    <w:p>
      <w:pPr>
        <w:spacing w:after="0"/>
      </w:pPr>
    </w:p>
    <w:p>
      <w:pPr>
        <w:pStyle w:val="Heading1"/>
      </w:pPr>
      <w:r>
        <w:t>3 页面结构与查询</w:t>
      </w:r>
    </w:p>
    <w:p>
      <w:pPr>
        <w:pStyle w:val="Heading2"/>
      </w:pPr>
      <w:r>
        <w:t>3.1 统计口径总则</w:t>
      </w:r>
    </w:p>
    <w:tbl>
      <w:tblPr>
        <w:tblStyle w:val="TableGrid"/>
        <w:tblW w:type="dxa" w:w="10224"/>
        <w:jc w:val="center"/>
        <w:tblLayout w:type="fixed"/>
        <w:tblLook w:firstColumn="1" w:firstRow="1" w:lastColumn="0" w:lastRow="0" w:noHBand="0" w:noVBand="1" w:val="04A0"/>
      </w:tblPr>
      <w:tblGrid>
        <w:gridCol w:w="2088"/>
        <w:gridCol w:w="8136"/>
      </w:tblGrid>
      <w:tr>
        <w:trPr>
          <w:tblHeader/>
        </w:trPr>
        <w:tc>
          <w:tcPr>
            <w:tcW w:type="dxa" w:w="2088"/>
            <w:shd w:fill="17365D"/>
            <w:tcMar>
              <w:top w:w="75" w:type="dxa"/>
              <w:start w:w="100" w:type="dxa"/>
              <w:bottom w:w="75" w:type="dxa"/>
              <w:end w:w="100" w:type="dxa"/>
            </w:tcMar>
            <w:vAlign w:val="center"/>
          </w:tcPr>
          <w:p>
            <w:r>
              <w:rPr>
                <w:rFonts w:ascii="Calibri" w:hAnsi="Calibri" w:eastAsia="Microsoft YaHei"/>
                <w:b/>
                <w:color w:val="FFFFFF"/>
                <w:sz w:val="16"/>
              </w:rPr>
              <w:t>规则项</w:t>
            </w:r>
          </w:p>
        </w:tc>
        <w:tc>
          <w:tcPr>
            <w:tcW w:type="dxa" w:w="8136"/>
            <w:shd w:fill="17365D"/>
            <w:tcMar>
              <w:top w:w="75" w:type="dxa"/>
              <w:start w:w="100" w:type="dxa"/>
              <w:bottom w:w="75" w:type="dxa"/>
              <w:end w:w="100" w:type="dxa"/>
            </w:tcMar>
            <w:vAlign w:val="center"/>
          </w:tcPr>
          <w:p>
            <w:r>
              <w:rPr>
                <w:rFonts w:ascii="Calibri" w:hAnsi="Calibri" w:eastAsia="Microsoft YaHei"/>
                <w:b/>
                <w:color w:val="FFFFFF"/>
                <w:sz w:val="16"/>
              </w:rPr>
              <w:t>开发规格</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时区与区间</w:t>
            </w:r>
          </w:p>
        </w:tc>
        <w:tc>
          <w:tcPr>
            <w:tcW w:type="dxa" w:w="813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统一使用香港时间。周为周一00:00至下周一00:00，月/季为自然月/自然季；事件型指标使用左闭右开区间[开始时间,结束时间)。</w:t>
            </w:r>
          </w:p>
        </w:tc>
      </w:tr>
      <w:tr>
        <w:trPr>
          <w:cantSplit/>
        </w:trPr>
        <w:tc>
          <w:tcPr>
            <w:tcW w:type="dxa" w:w="20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报告截止时点</w:t>
            </w:r>
          </w:p>
        </w:tc>
        <w:tc>
          <w:tcPr>
            <w:tcW w:type="dxa" w:w="813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每次查询返回数据截止时间；未结束周期只统计至数据截止时间。同比/环比取紧邻可比周期的相同已过时长，页面必须显示“截至时间”。</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事件型与快照型</w:t>
            </w:r>
          </w:p>
        </w:tc>
        <w:tc>
          <w:tcPr>
            <w:tcW w:type="dxa" w:w="813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现金流、成交、收入、新增客户使用业务事件时间；出租率、开放工单、客户在租状态使用截止时点快照。两类指标不得互换时间字段。</w:t>
            </w:r>
          </w:p>
        </w:tc>
      </w:tr>
      <w:tr>
        <w:trPr>
          <w:cantSplit/>
        </w:trPr>
        <w:tc>
          <w:tcPr>
            <w:tcW w:type="dxa" w:w="20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数据范围</w:t>
            </w:r>
          </w:p>
        </w:tc>
        <w:tc>
          <w:tcPr>
            <w:tcW w:type="dxa" w:w="813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所有指标先应用当前用户数据权限范围，再应用区域、门店、业务类型筛选。跨门店订单按指标规则指定的归属门店统计，不得重复计入。</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去重与冲正</w:t>
            </w:r>
          </w:p>
        </w:tc>
        <w:tc>
          <w:tcPr>
            <w:tcW w:type="dxa" w:w="813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订单/线索/仓位/迷你箱/工单按各自主键去重；事件以事件编号幂等。迟到事件进入下一次重算；退款与冲正计入实际完成周期，并保留原交易关联。</w:t>
            </w:r>
          </w:p>
        </w:tc>
      </w:tr>
      <w:tr>
        <w:trPr>
          <w:cantSplit/>
        </w:trPr>
        <w:tc>
          <w:tcPr>
            <w:tcW w:type="dxa" w:w="20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精度与展示</w:t>
            </w:r>
          </w:p>
        </w:tc>
        <w:tc>
          <w:tcPr>
            <w:tcW w:type="dxa" w:w="813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金额以分存储、HKD展示；计数为整数；率先用未四舍五入分子分母计算，再四舍五入到2位，小卡可显示1位。目标偏差使用百分点pp。</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零分母</w:t>
            </w:r>
          </w:p>
        </w:tc>
        <w:tc>
          <w:tcPr>
            <w:tcW w:type="dxa" w:w="813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分母为0时值返回null，界面显示“—/暂无可计算数据”，不得显示0%；同时返回原因类型=统计分母为零。</w:t>
            </w:r>
          </w:p>
        </w:tc>
      </w:tr>
      <w:tr>
        <w:trPr>
          <w:cantSplit/>
        </w:trPr>
        <w:tc>
          <w:tcPr>
            <w:tcW w:type="dxa" w:w="20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刷新与降级</w:t>
            </w:r>
          </w:p>
        </w:tc>
        <w:tc>
          <w:tcPr>
            <w:tcW w:type="dxa" w:w="813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线索/订单/资产/续租5分钟、工单1分钟、财务15分钟、客户30分钟。任一源超SLA时标记受影响组件、显示最后成功时间，禁止用0替代失败。</w:t>
            </w:r>
          </w:p>
        </w:tc>
      </w:tr>
    </w:tbl>
    <w:p>
      <w:pPr>
        <w:spacing w:after="0"/>
      </w:pPr>
    </w:p>
    <w:p>
      <w:pPr>
        <w:pStyle w:val="Heading2"/>
      </w:pPr>
      <w:r>
        <w:t>3.2 核心指标卡计算规则</w:t>
      </w:r>
    </w:p>
    <w:tbl>
      <w:tblPr>
        <w:tblStyle w:val="TableGrid"/>
        <w:tblW w:type="dxa" w:w="10224"/>
        <w:jc w:val="center"/>
        <w:tblLayout w:type="fixed"/>
        <w:tblLook w:firstColumn="1" w:firstRow="1" w:lastColumn="0" w:lastRow="0" w:noHBand="0" w:noVBand="1" w:val="04A0"/>
      </w:tblPr>
      <w:tblGrid>
        <w:gridCol w:w="1800"/>
        <w:gridCol w:w="3528"/>
        <w:gridCol w:w="3096"/>
        <w:gridCol w:w="1800"/>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4"/>
              </w:rPr>
              <w:t>指标ID/指标</w:t>
            </w:r>
          </w:p>
        </w:tc>
        <w:tc>
          <w:tcPr>
            <w:tcW w:type="dxa" w:w="3528"/>
            <w:shd w:fill="17365D"/>
            <w:tcMar>
              <w:top w:w="75" w:type="dxa"/>
              <w:start w:w="100" w:type="dxa"/>
              <w:bottom w:w="75" w:type="dxa"/>
              <w:end w:w="100" w:type="dxa"/>
            </w:tcMar>
            <w:vAlign w:val="center"/>
          </w:tcPr>
          <w:p>
            <w:r>
              <w:rPr>
                <w:rFonts w:ascii="Calibri" w:hAnsi="Calibri" w:eastAsia="Microsoft YaHei"/>
                <w:b/>
                <w:color w:val="FFFFFF"/>
                <w:sz w:val="14"/>
              </w:rPr>
              <w:t>公式与去重</w:t>
            </w:r>
          </w:p>
        </w:tc>
        <w:tc>
          <w:tcPr>
            <w:tcW w:type="dxa" w:w="3096"/>
            <w:shd w:fill="17365D"/>
            <w:tcMar>
              <w:top w:w="75" w:type="dxa"/>
              <w:start w:w="100" w:type="dxa"/>
              <w:bottom w:w="75" w:type="dxa"/>
              <w:end w:w="100" w:type="dxa"/>
            </w:tcMar>
            <w:vAlign w:val="center"/>
          </w:tcPr>
          <w:p>
            <w:r>
              <w:rPr>
                <w:rFonts w:ascii="Calibri" w:hAnsi="Calibri" w:eastAsia="Microsoft YaHei"/>
                <w:b/>
                <w:color w:val="FFFFFF"/>
                <w:sz w:val="14"/>
              </w:rPr>
              <w:t>时间口径及排除项</w:t>
            </w:r>
          </w:p>
        </w:tc>
        <w:tc>
          <w:tcPr>
            <w:tcW w:type="dxa" w:w="1800"/>
            <w:shd w:fill="17365D"/>
            <w:tcMar>
              <w:top w:w="75" w:type="dxa"/>
              <w:start w:w="100" w:type="dxa"/>
              <w:bottom w:w="75" w:type="dxa"/>
              <w:end w:w="100" w:type="dxa"/>
            </w:tcMar>
            <w:vAlign w:val="center"/>
          </w:tcPr>
          <w:p>
            <w:r>
              <w:rPr>
                <w:rFonts w:ascii="Calibri" w:hAnsi="Calibri" w:eastAsia="Microsoft YaHei"/>
                <w:b/>
                <w:color w:val="FFFFFF"/>
                <w:sz w:val="14"/>
              </w:rPr>
              <w:t>刷新、下钻与对账</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K01 本月现金流</w:t>
            </w:r>
          </w:p>
        </w:tc>
        <w:tc>
          <w:tcPr>
            <w:tcW w:type="dxa" w:w="35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Σ已入账现金流入（租金、按金、服务费）－Σ已完成退款－Σ已确认现金支出；以付款交易编号去重，币种统一为HKD。</w:t>
            </w:r>
          </w:p>
        </w:tc>
        <w:tc>
          <w:tcPr>
            <w:tcW w:type="dxa" w:w="309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入账时间落在所选周期；排除应收未收、待核验付款、仅开票、作废/测试交易。跨币种按入账日财务汇率换算。</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15分钟；下钻付款凭证，明细分项合计必须与卡片精确到分一致。</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K02 本月成交</w:t>
            </w:r>
          </w:p>
        </w:tc>
        <w:tc>
          <w:tcPr>
            <w:tcW w:type="dxa" w:w="35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计数(去重 订单编号)，条件为合同签署完成且首笔应收确认；同一订单仅计1次。转化率＝当期有效线索归因成交数÷当期有效线索数。</w:t>
            </w:r>
          </w:p>
        </w:tc>
        <w:tc>
          <w:tcPr>
            <w:tcW w:type="dxa" w:w="309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成交时间取首笔应收确认时间；排除草稿、取消、全额退款、重复转化、测试订单。线索按线索编号去重。</w:t>
            </w:r>
          </w:p>
        </w:tc>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5分钟；下钻订单中心。卡片同时返回成交数量、线索数量、转化率，前端不得自行混用口径。</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K03 面积出租率</w:t>
            </w:r>
          </w:p>
        </w:tc>
        <w:tc>
          <w:tcPr>
            <w:tcW w:type="dxa" w:w="35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期末已租迷你仓实际面积÷期末可出租迷你仓实际面积×100%；按面积加权，不得平均各仓位出租率。</w:t>
            </w:r>
          </w:p>
        </w:tc>
        <w:tc>
          <w:tcPr>
            <w:tcW w:type="dxa" w:w="309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取报告截止时点快照；仅正常营业门店。禁用、维修及不可出租仓位不进入分母；已生效占用进入分子。</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5分钟；下钻空间管理，并返回已出租面积、可出租面积和目标值。</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K04 容积出租率</w:t>
            </w:r>
          </w:p>
        </w:tc>
        <w:tc>
          <w:tcPr>
            <w:tcW w:type="dxa" w:w="35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期末已租可用容积÷期末可出租可用容积×100%；仓位容积＝有效长×宽×高，统一单位后汇总。</w:t>
            </w:r>
          </w:p>
        </w:tc>
        <w:tc>
          <w:tcPr>
            <w:tcW w:type="dxa" w:w="309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取截止时点快照；尺寸缺失仓位不进入分子/分母并计入口径异常数；禁用、维修、不可出租排除。</w:t>
            </w:r>
          </w:p>
        </w:tc>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5分钟；下钻缺尺寸及在租仓位，返回已出租容积、可出租容积、尺寸异常仓位数。</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K05 迷你箱出租率</w:t>
            </w:r>
          </w:p>
        </w:tc>
        <w:tc>
          <w:tcPr>
            <w:tcW w:type="dxa" w:w="35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（已配对＋在仓在租＋召回处理中）迷你箱数÷可运营迷你箱总数×100%；按箱体编号去重。</w:t>
            </w:r>
          </w:p>
        </w:tc>
        <w:tc>
          <w:tcPr>
            <w:tcW w:type="dxa" w:w="309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取截止时点最新状态；维修、报废、禁用、测试箱不进分母。召回完成且解除客户关系后不再计入分子。</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5分钟；下钻迷你箱资产，返回已出租箱体数、可运营箱体数。</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K06 30天内到期</w:t>
            </w:r>
          </w:p>
        </w:tc>
        <w:tc>
          <w:tcPr>
            <w:tcW w:type="dxa" w:w="35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计数(去重 仓位编号)，active合同的结束日期位于(数据截止日期, 数据截止日期＋30天]。</w:t>
            </w:r>
          </w:p>
        </w:tc>
        <w:tc>
          <w:tcPr>
            <w:tcW w:type="dxa" w:w="309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以香港自然日计算；已完成续租、已退租、取消、测试订单排除；转仓合并后只统计目标有效仓位。</w:t>
            </w:r>
          </w:p>
        </w:tc>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5分钟；下钻续租管理并携带到期起始日/到期截止日；展示最近到期剩余天数。</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K07 总体续租率</w:t>
            </w:r>
          </w:p>
        </w:tc>
        <w:tc>
          <w:tcPr>
            <w:tcW w:type="dxa" w:w="35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已完成续租客户数÷符合续租条件的到期客户数×100%；同一客户同一续租事件涉及多个仓位只计1人。</w:t>
            </w:r>
          </w:p>
        </w:tc>
        <w:tc>
          <w:tcPr>
            <w:tcW w:type="dxa" w:w="309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分母按原合同到期日在所选周期；分子须续租合同已签且首笔续租款已确认。主动退租、作废合同、测试订单、转仓合并排除。</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5分钟；下钻续租管理，返回符合条件客户数、已续租客户数、待续租客户数。</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K08 当前开放工单</w:t>
            </w:r>
          </w:p>
        </w:tc>
        <w:tc>
          <w:tcPr>
            <w:tcW w:type="dxa" w:w="35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计数(去重 工单编号)，状态属于待接单、待处理、处理中、待复核等非终态。</w:t>
            </w:r>
          </w:p>
        </w:tc>
        <w:tc>
          <w:tcPr>
            <w:tcW w:type="dxa" w:w="309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取截止时点快照；取消、已完成、已关闭、测试工单排除；按当前归属门店计数。</w:t>
            </w:r>
          </w:p>
        </w:tc>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1分钟；下钻工单中心并携带开放状态集合。</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K09 SLA风险</w:t>
            </w:r>
          </w:p>
        </w:tc>
        <w:tc>
          <w:tcPr>
            <w:tcW w:type="dxa" w:w="35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开放工单中已超SLA，或预计剩余时长≤预警阈值的计数(去重 工单编号)。</w:t>
            </w:r>
          </w:p>
        </w:tc>
        <w:tc>
          <w:tcPr>
            <w:tcW w:type="dxa" w:w="309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暂停计时须有获批暂停区间；剩余时长＝SLA截止－当前时间－有效暂停时长。阈值由工单类型/优先级配置。</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1分钟；下钻SLA风险清单，优先显示已超时，再按剩余时长升序。</w:t>
            </w:r>
          </w:p>
        </w:tc>
      </w:tr>
    </w:tbl>
    <w:p>
      <w:pPr>
        <w:spacing w:after="0"/>
      </w:pPr>
    </w:p>
    <w:p>
      <w:pPr>
        <w:pStyle w:val="Heading2"/>
      </w:pPr>
      <w:r>
        <w:t>3.3 图表统计规则</w:t>
      </w:r>
    </w:p>
    <w:tbl>
      <w:tblPr>
        <w:tblStyle w:val="TableGrid"/>
        <w:tblW w:type="dxa" w:w="10224"/>
        <w:jc w:val="center"/>
        <w:tblLayout w:type="fixed"/>
        <w:tblLook w:firstColumn="1" w:firstRow="1" w:lastColumn="0" w:lastRow="0" w:noHBand="0" w:noVBand="1" w:val="04A0"/>
      </w:tblPr>
      <w:tblGrid>
        <w:gridCol w:w="1944"/>
        <w:gridCol w:w="1440"/>
        <w:gridCol w:w="3672"/>
        <w:gridCol w:w="3168"/>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4"/>
              </w:rPr>
              <w:t>图表ID/名称</w:t>
            </w:r>
          </w:p>
        </w:tc>
        <w:tc>
          <w:tcPr>
            <w:tcW w:type="dxa" w:w="1440"/>
            <w:shd w:fill="17365D"/>
            <w:tcMar>
              <w:top w:w="75" w:type="dxa"/>
              <w:start w:w="100" w:type="dxa"/>
              <w:bottom w:w="75" w:type="dxa"/>
              <w:end w:w="100" w:type="dxa"/>
            </w:tcMar>
            <w:vAlign w:val="center"/>
          </w:tcPr>
          <w:p>
            <w:r>
              <w:rPr>
                <w:rFonts w:ascii="Calibri" w:hAnsi="Calibri" w:eastAsia="Microsoft YaHei"/>
                <w:b/>
                <w:color w:val="FFFFFF"/>
                <w:sz w:val="14"/>
              </w:rPr>
              <w:t>图形</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4"/>
              </w:rPr>
              <w:t>统计公式与维度</w:t>
            </w:r>
          </w:p>
        </w:tc>
        <w:tc>
          <w:tcPr>
            <w:tcW w:type="dxa" w:w="3168"/>
            <w:shd w:fill="17365D"/>
            <w:tcMar>
              <w:top w:w="75" w:type="dxa"/>
              <w:start w:w="100" w:type="dxa"/>
              <w:bottom w:w="75" w:type="dxa"/>
              <w:end w:w="100" w:type="dxa"/>
            </w:tcMar>
            <w:vAlign w:val="center"/>
          </w:tcPr>
          <w:p>
            <w:r>
              <w:rPr>
                <w:rFonts w:ascii="Calibri" w:hAnsi="Calibri" w:eastAsia="Microsoft YaHei"/>
                <w:b/>
                <w:color w:val="FFFFFF"/>
                <w:sz w:val="14"/>
              </w:rPr>
              <w:t>特殊规则、联动与下钻</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C01 销售转化路径</w:t>
            </w:r>
          </w:p>
        </w:tc>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数字漏斗/路径</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线索317、有效联系276、预约看仓66、入住成交84；有效联系率＝有效联系线索÷有效线索；联系后成交率＝有效联系后成交线索÷有效联系线索。</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预约不是成交必经节点，禁止用相邻柱高强制单调；看仓率分母为具备看仓意向的有效联系线索。点击阶段下钻对应线索/预约/订单。</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C02 营销效率</w:t>
            </w:r>
          </w:p>
        </w:tc>
        <w:tc>
          <w:tcPr>
            <w:tcW w:type="dxa" w:w="14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预算进度＋成本指标</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执行率＝已确认营销支出÷已审批预算；余额＝预算－支出；CPL＝支出÷付费渠道有效线索；来电成本＝支出÷归因有效来电；成交成本＝支出÷归因成交订单。</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按营销活动编号及首触归因；分母为0显示“—”。原型示例预算120,000、余额18,226，对应执行率84.8%。</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C03 获客渠道构成</w:t>
            </w:r>
          </w:p>
        </w:tc>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环形图</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按有效线索首次接触渠道分组计数(去重 线索编号)，占比＝渠道线索数÷全部有效线索数。</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未知渠道单列“其他/未知”；按数量降序；百分比由后端原始分子分母计算，末位差使用最大余数法校正到100%。</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C04 门店续租率</w:t>
            </w:r>
          </w:p>
        </w:tc>
        <w:tc>
          <w:tcPr>
            <w:tcW w:type="dxa" w:w="14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门店柱状图＋目标线</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门店续租率＝门店已完成续租客户÷门店符合条件到期客户；目标线默认75%，配置化。</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客户按客户编号＋续租事件编号去重，门店按原到期合同门店编号归属；同率时按符合条件客户数降序。点击门店下钻。</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C05 续租时机分布</w:t>
            </w:r>
          </w:p>
        </w:tc>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近4季度柱线图</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柱为续租生效时间落入季度的续租客户数；率为原合同到期日在该季度的已续客户÷符合条件客户。</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数量与续租率使用不同时间锚点，接口必须分别返回数量统计时间口径和比率统计时间口径，页面问号明确说明，禁止用柱值直接除出率。</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C06 现金流与收入趋势</w:t>
            </w:r>
          </w:p>
        </w:tc>
        <w:tc>
          <w:tcPr>
            <w:tcW w:type="dxa" w:w="14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近7月双折线</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收入线＝已入账租金＋服务费，不含可退按金和现金支出；现金流净额按K01。对比线取紧邻上一可比周期，并按相同已过天数截断。</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月粒度按香港时区；当前月未结束显示“截至M月D日”。点击月份下钻付款凭证；退款回冲到实际完成月份，不回写原月。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C07 空间利用率</w:t>
            </w:r>
          </w:p>
        </w:tc>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三项仪表/进度条</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面积、容积、迷你箱分别严格复用K03、K04、K05，不允许前端二次聚合。</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同时返回分子、分母、异常资产数及快照时间；区域/门店筛选后重新计算，不使用全局率平均。</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C08 重点门店效率</w:t>
            </w:r>
          </w:p>
        </w:tc>
        <w:tc>
          <w:tcPr>
            <w:tcW w:type="dxa" w:w="14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门店排名条形图</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门店面积出租率、续租率及未来30天到期数；默认取面积出租率Top4。</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排序：出租率降序→可出租面积降序→门店代码升序；目标线85%。点击门店进入楼层/仓位视图并继承截止时点。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C09 迷你箱区域状态</w:t>
            </w:r>
          </w:p>
        </w:tc>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分组堆叠条形图</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按box最新仓储位置分组；在租＝已配对＋在仓在租＋召回处理中，空闲＝当前可用。</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区域合计须等于全局可运营箱数；位置未知单列“待定位”；原型示例699在租、751空闲、合计1450，出租率48.21%。</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C10 到期风险分布</w:t>
            </w:r>
          </w:p>
        </w:tc>
        <w:tc>
          <w:tcPr>
            <w:tcW w:type="dxa" w:w="14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分段柱状图</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将K06仓位按剩余自然日分为1–7天、8–14天、15–30天，区间互斥且并集等于30天到期数。</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剩余天数＝结束日期－数据截止日期；当日已到期进入逾期清单，不进入未来30天。点击分段下钻并携带精确日期区间。</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C11 工单处置概览</w:t>
            </w:r>
          </w:p>
        </w:tc>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状态卡＋类型分布</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开放工单按待处理/处理中/SLA风险分组；今日完成按完成时间香港自然日；类型分布按工单类型；高优先级按优先级配置。</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状态分组互斥，SLA风险为开放工单的交叉标签，不与状态数相加；点击类型或状态下钻工单中心。</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C12 订单业务分布</w:t>
            </w:r>
          </w:p>
        </w:tc>
        <w:tc>
          <w:tcPr>
            <w:tcW w:type="dxa" w:w="14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环形图＋最新动态</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按所选周期有效订单业务类型分为迷你仓、迷你箱、续租、退租；计数(去重 订单编号)，占比＝类型订单数÷总有效订单数。</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排除草稿、取消、测试及全额退款订单；最新动态按业务节点时间倒序，仅显示用户有权限的数据。原型固定数字不得写死。</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C13 客户资产概览</w:t>
            </w:r>
          </w:p>
        </w:tc>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指标卡＋客群构成</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客户总数按有效客户编号；活跃在租为截止时点至少一个有效租约；新增按创建时间；资料完整率＝必填主档字段完整客户÷有效客户。</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客群标签按优先级互斥：活跃迷你仓→活跃迷你箱→潜在客户→历史客户；一个客户只落一个主分群。点击下钻客户档案。</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C14 空间经营全景</w:t>
            </w:r>
          </w:p>
        </w:tc>
        <w:tc>
          <w:tcPr>
            <w:tcW w:type="dxa" w:w="14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香港地图→门店→楼层→仓位</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组合展示门店数、仓位总数、已租、预留、维修、禁用、到期及出租率；楼层可出租数＝总数－维修－禁用－不可出租。</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地图和层级卡使用同一资产快照编号；点击区域、门店、楼层逐级过滤。仓位状态互斥，状态合计须等于层级总数。</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C15 经营预警</w:t>
            </w:r>
          </w:p>
        </w:tc>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规则卡片</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预算超支、成交成本环比、出租率低于目标、口径异常、30天到期和SLA风险按配置阈值产生预警。</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每条预警返回规则编号、level、actual、threshold、dimension、发现时间和详情地址；数据源失败显示“数据异常”，不得生成业务零值预警。</w:t>
            </w:r>
          </w:p>
        </w:tc>
      </w:tr>
    </w:tbl>
    <w:p>
      <w:pPr>
        <w:spacing w:after="0"/>
      </w:pPr>
    </w:p>
    <w:p>
      <w:pPr>
        <w:pStyle w:val="Heading2"/>
      </w:pPr>
      <w:r>
        <w:t>3.4 筛选、联动与查询状态</w:t>
      </w:r>
    </w:p>
    <w:tbl>
      <w:tblPr>
        <w:tblStyle w:val="TableGrid"/>
        <w:tblW w:type="dxa" w:w="10224"/>
        <w:jc w:val="center"/>
        <w:tblLayout w:type="fixed"/>
        <w:tblLook w:firstColumn="1" w:firstRow="1" w:lastColumn="0" w:lastRow="0" w:noHBand="0" w:noVBand="1" w:val="04A0"/>
      </w:tblPr>
      <w:tblGrid>
        <w:gridCol w:w="2232"/>
        <w:gridCol w:w="7992"/>
      </w:tblGrid>
      <w:tr>
        <w:trPr>
          <w:tblHeader/>
        </w:trPr>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能力</w:t>
            </w:r>
          </w:p>
        </w:tc>
        <w:tc>
          <w:tcPr>
            <w:tcW w:type="dxa" w:w="7992"/>
            <w:shd w:fill="17365D"/>
            <w:tcMar>
              <w:top w:w="75" w:type="dxa"/>
              <w:start w:w="100" w:type="dxa"/>
              <w:bottom w:w="75" w:type="dxa"/>
              <w:end w:w="100" w:type="dxa"/>
            </w:tcMar>
            <w:vAlign w:val="center"/>
          </w:tcPr>
          <w:p>
            <w:r>
              <w:rPr>
                <w:rFonts w:ascii="Calibri" w:hAnsi="Calibri" w:eastAsia="Microsoft YaHei"/>
                <w:b/>
                <w:color w:val="FFFFFF"/>
                <w:sz w:val="16"/>
              </w:rPr>
              <w:t>规则</w:t>
            </w:r>
          </w:p>
        </w:tc>
      </w:tr>
      <w:tr>
        <w:trPr>
          <w:cantSplit/>
        </w:trPr>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周期</w:t>
            </w:r>
          </w:p>
        </w:tc>
        <w:tc>
          <w:tcPr>
            <w:tcW w:type="dxa" w:w="79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默认本月；可选本周、本月、本季及自定义只读报告周期。切换周期时重算事件型指标，快照型指标取周期末或当前数据截止时间。</w:t>
            </w:r>
          </w:p>
        </w:tc>
      </w:tr>
      <w:tr>
        <w:trPr>
          <w:cantSplit/>
        </w:trPr>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区域/门店</w:t>
            </w:r>
          </w:p>
        </w:tc>
        <w:tc>
          <w:tcPr>
            <w:tcW w:type="dxa" w:w="79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区域多选、门店多选；门店选项受区域及数据权限范围约束。地图选择与顶部筛选双向同步，并在页面显示当前作用范围。</w:t>
            </w:r>
          </w:p>
        </w:tc>
      </w:tr>
      <w:tr>
        <w:trPr>
          <w:cantSplit/>
        </w:trPr>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业务类型</w:t>
            </w:r>
          </w:p>
        </w:tc>
        <w:tc>
          <w:tcPr>
            <w:tcW w:type="dxa" w:w="79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全部、迷你仓、迷你箱；不适用该维度的组件保持显示并标记“不受业务类型筛选影响”，不得静默改变定义。</w:t>
            </w:r>
          </w:p>
        </w:tc>
      </w:tr>
      <w:tr>
        <w:trPr>
          <w:cantSplit/>
        </w:trPr>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跨组件联动</w:t>
            </w:r>
          </w:p>
        </w:tc>
        <w:tc>
          <w:tcPr>
            <w:tcW w:type="dxa" w:w="79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点击渠道、门店、季度、到期分段或工单状态，只增加临时维度筛选；页面提供面包屑和“清除联动”。切换主周期清除临时联动。</w:t>
            </w:r>
          </w:p>
        </w:tc>
      </w:tr>
      <w:tr>
        <w:trPr>
          <w:cantSplit/>
        </w:trPr>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下钻</w:t>
            </w:r>
          </w:p>
        </w:tc>
        <w:tc>
          <w:tcPr>
            <w:tcW w:type="dxa" w:w="79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详情地址携带指标编号、统计周期开始时间、统计周期结束时间、数据截止时间、维度筛选条件和指标口径版本；目标列表显示口径摘要，返回时保留原筛选。</w:t>
            </w:r>
          </w:p>
        </w:tc>
      </w:tr>
      <w:tr>
        <w:trPr>
          <w:cantSplit/>
        </w:trPr>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加载/空态/失败</w:t>
            </w:r>
          </w:p>
        </w:tc>
        <w:tc>
          <w:tcPr>
            <w:tcW w:type="dxa" w:w="79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整页并行查询；组件单独骨架。合法零值显示0，零分母显示—，无权限显示受限，源失败显示错误及重试；其他组件继续可用。</w:t>
            </w:r>
          </w:p>
        </w:tc>
      </w:tr>
    </w:tbl>
    <w:p>
      <w:pPr>
        <w:spacing w:after="0"/>
      </w:pPr>
    </w:p>
    <w:p>
      <w:pPr>
        <w:pStyle w:val="Heading2"/>
      </w:pPr>
      <w:r>
        <w:t>3.5 数据来源与字段映射</w:t>
      </w:r>
    </w:p>
    <w:tbl>
      <w:tblPr>
        <w:tblStyle w:val="TableGrid"/>
        <w:tblW w:type="dxa" w:w="10224"/>
        <w:jc w:val="center"/>
        <w:tblLayout w:type="fixed"/>
        <w:tblLook w:firstColumn="1" w:firstRow="1" w:lastColumn="0" w:lastRow="0" w:noHBand="0" w:noVBand="1" w:val="04A0"/>
      </w:tblPr>
      <w:tblGrid>
        <w:gridCol w:w="1728"/>
        <w:gridCol w:w="2448"/>
        <w:gridCol w:w="3456"/>
        <w:gridCol w:w="2592"/>
      </w:tblGrid>
      <w:tr>
        <w:trPr>
          <w:tblHeader/>
        </w:trPr>
        <w:tc>
          <w:tcPr>
            <w:tcW w:type="dxa" w:w="1728"/>
            <w:shd w:fill="17365D"/>
            <w:tcMar>
              <w:top w:w="75" w:type="dxa"/>
              <w:start w:w="100" w:type="dxa"/>
              <w:bottom w:w="75" w:type="dxa"/>
              <w:end w:w="100" w:type="dxa"/>
            </w:tcMar>
            <w:vAlign w:val="center"/>
          </w:tcPr>
          <w:p>
            <w:r>
              <w:rPr>
                <w:rFonts w:ascii="Calibri" w:hAnsi="Calibri" w:eastAsia="Microsoft YaHei"/>
                <w:b/>
                <w:color w:val="FFFFFF"/>
                <w:sz w:val="15"/>
              </w:rPr>
              <w:t>数据域</w:t>
            </w:r>
          </w:p>
        </w:tc>
        <w:tc>
          <w:tcPr>
            <w:tcW w:type="dxa" w:w="2448"/>
            <w:shd w:fill="17365D"/>
            <w:tcMar>
              <w:top w:w="75" w:type="dxa"/>
              <w:start w:w="100" w:type="dxa"/>
              <w:bottom w:w="75" w:type="dxa"/>
              <w:end w:w="100" w:type="dxa"/>
            </w:tcMar>
            <w:vAlign w:val="center"/>
          </w:tcPr>
          <w:p>
            <w:r>
              <w:rPr>
                <w:rFonts w:ascii="Calibri" w:hAnsi="Calibri" w:eastAsia="Microsoft YaHei"/>
                <w:b/>
                <w:color w:val="FFFFFF"/>
                <w:sz w:val="15"/>
              </w:rPr>
              <w:t>事实对象</w:t>
            </w:r>
          </w:p>
        </w:tc>
        <w:tc>
          <w:tcPr>
            <w:tcW w:type="dxa" w:w="3456"/>
            <w:shd w:fill="17365D"/>
            <w:tcMar>
              <w:top w:w="75" w:type="dxa"/>
              <w:start w:w="100" w:type="dxa"/>
              <w:bottom w:w="75" w:type="dxa"/>
              <w:end w:w="100" w:type="dxa"/>
            </w:tcMar>
            <w:vAlign w:val="center"/>
          </w:tcPr>
          <w:p>
            <w:r>
              <w:rPr>
                <w:rFonts w:ascii="Calibri" w:hAnsi="Calibri" w:eastAsia="Microsoft YaHei"/>
                <w:b/>
                <w:color w:val="FFFFFF"/>
                <w:sz w:val="15"/>
              </w:rPr>
              <w:t>关键字段</w:t>
            </w:r>
          </w:p>
        </w:tc>
        <w:tc>
          <w:tcPr>
            <w:tcW w:type="dxa" w:w="2592"/>
            <w:shd w:fill="17365D"/>
            <w:tcMar>
              <w:top w:w="75" w:type="dxa"/>
              <w:start w:w="100" w:type="dxa"/>
              <w:bottom w:w="75" w:type="dxa"/>
              <w:end w:w="100" w:type="dxa"/>
            </w:tcMar>
            <w:vAlign w:val="center"/>
          </w:tcPr>
          <w:p>
            <w:r>
              <w:rPr>
                <w:rFonts w:ascii="Calibri" w:hAnsi="Calibri" w:eastAsia="Microsoft YaHei"/>
                <w:b/>
                <w:color w:val="FFFFFF"/>
                <w:sz w:val="15"/>
              </w:rPr>
              <w:t>用途与责任</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财务主域</w:t>
            </w:r>
          </w:p>
        </w:tc>
        <w:tc>
          <w:tcPr>
            <w:tcW w:type="dxa" w:w="244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付款交易、Refund、现金支出、财务汇率</w:t>
            </w:r>
          </w:p>
        </w:tc>
        <w:tc>
          <w:tcPr>
            <w:tcW w:type="dxa" w:w="34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交易编号、最小货币单位金额、currency、业务状态、入账时间、门店编号</w:t>
            </w:r>
          </w:p>
        </w:tc>
        <w:tc>
          <w:tcPr>
            <w:tcW w:type="dxa" w:w="25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现金流、收入、营销支出；财务入账状态为唯一事实来源。</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销售主域</w:t>
            </w:r>
          </w:p>
        </w:tc>
        <w:tc>
          <w:tcPr>
            <w:tcW w:type="dxa" w:w="244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Lead、Contact、Appointment、销售订单</w:t>
            </w:r>
          </w:p>
        </w:tc>
        <w:tc>
          <w:tcPr>
            <w:tcW w:type="dxa" w:w="34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线索编号、订单编号、channel、业务类型、签署时间、首笔应收确认时间</w:t>
            </w:r>
          </w:p>
        </w:tc>
        <w:tc>
          <w:tcPr>
            <w:tcW w:type="dxa" w:w="25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成交、转化路径、渠道、订单构成；编号去重。</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合同续租域</w:t>
            </w:r>
          </w:p>
        </w:tc>
        <w:tc>
          <w:tcPr>
            <w:tcW w:type="dxa" w:w="244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Contract、续租事件</w:t>
            </w:r>
          </w:p>
        </w:tc>
        <w:tc>
          <w:tcPr>
            <w:tcW w:type="dxa" w:w="34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客户编号、仓位编号、门店编号、结束日期、续租生效时间、业务状态</w:t>
            </w:r>
          </w:p>
        </w:tc>
        <w:tc>
          <w:tcPr>
            <w:tcW w:type="dxa" w:w="25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到期、续租率、续租时机；保留原合同归属。</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空间资产域</w:t>
            </w:r>
          </w:p>
        </w:tc>
        <w:tc>
          <w:tcPr>
            <w:tcW w:type="dxa" w:w="244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Store、Floor、仓位、资产快照</w:t>
            </w:r>
          </w:p>
        </w:tc>
        <w:tc>
          <w:tcPr>
            <w:tcW w:type="dxa" w:w="34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area、volume、是否可出租、占用状态、数据快照编号</w:t>
            </w:r>
          </w:p>
        </w:tc>
        <w:tc>
          <w:tcPr>
            <w:tcW w:type="dxa" w:w="25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面积/容积出租率、门店效率、空间全景。</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迷你箱域</w:t>
            </w:r>
          </w:p>
        </w:tc>
        <w:tc>
          <w:tcPr>
            <w:tcW w:type="dxa" w:w="244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迷你箱资产、迷你箱配对记录、迷你箱仓储位置</w:t>
            </w:r>
          </w:p>
        </w:tc>
        <w:tc>
          <w:tcPr>
            <w:tcW w:type="dxa" w:w="34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箱体编号、可运营状态、租用状态、最新仓储位置</w:t>
            </w:r>
          </w:p>
        </w:tc>
        <w:tc>
          <w:tcPr>
            <w:tcW w:type="dxa" w:w="25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迷你箱出租率与区域状态。</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工单域</w:t>
            </w:r>
          </w:p>
        </w:tc>
        <w:tc>
          <w:tcPr>
            <w:tcW w:type="dxa" w:w="244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Ticket、工单服务时限计时记录</w:t>
            </w:r>
          </w:p>
        </w:tc>
        <w:tc>
          <w:tcPr>
            <w:tcW w:type="dxa" w:w="34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工单编号、业务状态、类型、优先级、服务时限截止时间、暂停计时区间</w:t>
            </w:r>
          </w:p>
        </w:tc>
        <w:tc>
          <w:tcPr>
            <w:tcW w:type="dxa" w:w="25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开放工单、SLA风险、今日完成。</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客户主域</w:t>
            </w:r>
          </w:p>
        </w:tc>
        <w:tc>
          <w:tcPr>
            <w:tcW w:type="dxa" w:w="244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Customer、客户档案</w:t>
            </w:r>
          </w:p>
        </w:tc>
        <w:tc>
          <w:tcPr>
            <w:tcW w:type="dxa" w:w="34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客户编号、创建时间、客户档案完整度、客户分群事实</w:t>
            </w:r>
          </w:p>
        </w:tc>
        <w:tc>
          <w:tcPr>
            <w:tcW w:type="dxa" w:w="25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客户资产概览与分群。</w:t>
            </w:r>
          </w:p>
        </w:tc>
      </w:tr>
    </w:tbl>
    <w:p>
      <w:pPr>
        <w:spacing w:after="0"/>
      </w:pPr>
    </w:p>
    <w:p>
      <w:pPr>
        <w:pStyle w:val="Heading2"/>
      </w:pPr>
      <w:r>
        <w:t>3.6 接口返回与可追溯要求</w:t>
      </w:r>
    </w:p>
    <w:p>
      <w:pPr>
        <w:pStyle w:val="ListBullet"/>
      </w:pPr>
      <w:r>
        <w:t>每个指标或图表返回指标编号、指标口径版本、数据截止时间、统计周期开始时间、统计周期结束时间、统计时区、分子、分母、数值、单位、业务状态和详情地址</w:t>
      </w:r>
    </w:p>
    <w:p>
      <w:pPr>
        <w:pStyle w:val="ListBullet"/>
      </w:pPr>
      <w:r>
        <w:t>图表图表序列返回维度类型、维度名称、count或最小货币单位金额、原始比率及显示比率；前端只格式化，不重新定义口径</w:t>
      </w:r>
    </w:p>
    <w:p>
      <w:pPr>
        <w:pStyle w:val="ListBullet"/>
      </w:pPr>
      <w:r>
        <w:t>报告生成时冻结指标口径版本、筛选条件、源数据数据截止水位和资产快照编号，历史报告不得随当前数据静默变化</w:t>
      </w:r>
    </w:p>
    <w:p>
      <w:pPr>
        <w:pStyle w:val="ListBullet"/>
      </w:pPr>
      <w:r>
        <w:t>组件状态支持数据正常、数据已过期、部分数据可用、处理失败、无操作权限；部分数据可用必须返回缺失数据源与影响说明</w:t>
      </w:r>
    </w:p>
    <w:p>
      <w:pPr>
        <w:pStyle w:val="Heading2"/>
      </w:pPr>
      <w:r>
        <w:t>3.7 口径验收与对账示例</w:t>
      </w:r>
    </w:p>
    <w:tbl>
      <w:tblPr>
        <w:tblStyle w:val="TableGrid"/>
        <w:tblW w:type="dxa" w:w="10224"/>
        <w:jc w:val="center"/>
        <w:tblLayout w:type="fixed"/>
        <w:tblLook w:firstColumn="1" w:firstRow="1" w:lastColumn="0" w:lastRow="0" w:noHBand="0" w:noVBand="1" w:val="04A0"/>
      </w:tblPr>
      <w:tblGrid>
        <w:gridCol w:w="2160"/>
        <w:gridCol w:w="3816"/>
        <w:gridCol w:w="4248"/>
      </w:tblGrid>
      <w:tr>
        <w:trPr>
          <w:tblHeader/>
        </w:trPr>
        <w:tc>
          <w:tcPr>
            <w:tcW w:type="dxa" w:w="2160"/>
            <w:shd w:fill="17365D"/>
            <w:tcMar>
              <w:top w:w="75" w:type="dxa"/>
              <w:start w:w="100" w:type="dxa"/>
              <w:bottom w:w="75" w:type="dxa"/>
              <w:end w:w="100" w:type="dxa"/>
            </w:tcMar>
            <w:vAlign w:val="center"/>
          </w:tcPr>
          <w:p>
            <w:r>
              <w:rPr>
                <w:rFonts w:ascii="Calibri" w:hAnsi="Calibri" w:eastAsia="Microsoft YaHei"/>
                <w:b/>
                <w:color w:val="FFFFFF"/>
                <w:sz w:val="16"/>
              </w:rPr>
              <w:t>验收项</w:t>
            </w:r>
          </w:p>
        </w:tc>
        <w:tc>
          <w:tcPr>
            <w:tcW w:type="dxa" w:w="3816"/>
            <w:shd w:fill="17365D"/>
            <w:tcMar>
              <w:top w:w="75" w:type="dxa"/>
              <w:start w:w="100" w:type="dxa"/>
              <w:bottom w:w="75" w:type="dxa"/>
              <w:end w:w="100" w:type="dxa"/>
            </w:tcMar>
            <w:vAlign w:val="center"/>
          </w:tcPr>
          <w:p>
            <w:r>
              <w:rPr>
                <w:rFonts w:ascii="Calibri" w:hAnsi="Calibri" w:eastAsia="Microsoft YaHei"/>
                <w:b/>
                <w:color w:val="FFFFFF"/>
                <w:sz w:val="16"/>
              </w:rPr>
              <w:t>输入</w:t>
            </w:r>
          </w:p>
        </w:tc>
        <w:tc>
          <w:tcPr>
            <w:tcW w:type="dxa" w:w="4248"/>
            <w:shd w:fill="17365D"/>
            <w:tcMar>
              <w:top w:w="75" w:type="dxa"/>
              <w:start w:w="100" w:type="dxa"/>
              <w:bottom w:w="75" w:type="dxa"/>
              <w:end w:w="100" w:type="dxa"/>
            </w:tcMar>
            <w:vAlign w:val="center"/>
          </w:tcPr>
          <w:p>
            <w:r>
              <w:rPr>
                <w:rFonts w:ascii="Calibri" w:hAnsi="Calibri" w:eastAsia="Microsoft YaHei"/>
                <w:b/>
                <w:color w:val="FFFFFF"/>
                <w:sz w:val="16"/>
              </w:rPr>
              <w:t>预期结果</w:t>
            </w:r>
          </w:p>
        </w:tc>
      </w:tr>
      <w:tr>
        <w:trPr>
          <w:cantSplit/>
        </w:trPr>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成交转化率</w:t>
            </w:r>
          </w:p>
        </w:tc>
        <w:tc>
          <w:tcPr>
            <w:tcW w:type="dxa" w:w="38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有效线索317，归因成交84</w:t>
            </w:r>
          </w:p>
        </w:tc>
        <w:tc>
          <w:tcPr>
            <w:tcW w:type="dxa" w:w="424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84÷317＝26.4984%，卡片显示26.5%，明细成交线索编号去重后为84。</w:t>
            </w:r>
          </w:p>
        </w:tc>
      </w:tr>
      <w:tr>
        <w:trPr>
          <w:cantSplit/>
        </w:trPr>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面积目标偏差</w:t>
            </w:r>
          </w:p>
        </w:tc>
        <w:tc>
          <w:tcPr>
            <w:tcW w:type="dxa" w:w="38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面积出租率86.84%，目标85.00%</w:t>
            </w:r>
          </w:p>
        </w:tc>
        <w:tc>
          <w:tcPr>
            <w:tcW w:type="dxa" w:w="424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显示高于目标1.84pp，不得显示“增长2.16%”。</w:t>
            </w:r>
          </w:p>
        </w:tc>
      </w:tr>
      <w:tr>
        <w:trPr>
          <w:cantSplit/>
        </w:trPr>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迷你箱出租率</w:t>
            </w:r>
          </w:p>
        </w:tc>
        <w:tc>
          <w:tcPr>
            <w:tcW w:type="dxa" w:w="38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在租699，空闲751，维修/禁用不在分母</w:t>
            </w:r>
          </w:p>
        </w:tc>
        <w:tc>
          <w:tcPr>
            <w:tcW w:type="dxa" w:w="424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699÷(699＋751)＝48.2069%，显示48.21%；区域在租与空闲分别汇总为699和751。</w:t>
            </w:r>
          </w:p>
        </w:tc>
      </w:tr>
      <w:tr>
        <w:trPr>
          <w:cantSplit/>
        </w:trPr>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营销预算</w:t>
            </w:r>
          </w:p>
        </w:tc>
        <w:tc>
          <w:tcPr>
            <w:tcW w:type="dxa" w:w="38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预算120,000，余额18,226</w:t>
            </w:r>
          </w:p>
        </w:tc>
        <w:tc>
          <w:tcPr>
            <w:tcW w:type="dxa" w:w="424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支出101,774，执行率84.8117%，显示84.8%；支出明细合计等于101,774.00。</w:t>
            </w:r>
          </w:p>
        </w:tc>
      </w:tr>
      <w:tr>
        <w:trPr>
          <w:cantSplit/>
        </w:trPr>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到期分段</w:t>
            </w:r>
          </w:p>
        </w:tc>
        <w:tc>
          <w:tcPr>
            <w:tcW w:type="dxa" w:w="38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1–7天40、8–14天45、15–30天70</w:t>
            </w:r>
          </w:p>
        </w:tc>
        <w:tc>
          <w:tcPr>
            <w:tcW w:type="dxa" w:w="424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总数155；三个分段互斥，下钻去重仓位编号合计必须等于K06。</w:t>
            </w:r>
          </w:p>
        </w:tc>
      </w:tr>
      <w:tr>
        <w:trPr>
          <w:cantSplit/>
        </w:trPr>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零分母</w:t>
            </w:r>
          </w:p>
        </w:tc>
        <w:tc>
          <w:tcPr>
            <w:tcW w:type="dxa" w:w="38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某门店本期符合续租条件客户0</w:t>
            </w:r>
          </w:p>
        </w:tc>
        <w:tc>
          <w:tcPr>
            <w:tcW w:type="dxa" w:w="424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续租率=null、原因类型=统计分母为零，页面显示—，不参与门店高低排名。</w:t>
            </w:r>
          </w:p>
        </w:tc>
      </w:tr>
      <w:tr>
        <w:trPr>
          <w:cantSplit/>
        </w:trPr>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数据源失败</w:t>
            </w:r>
          </w:p>
        </w:tc>
        <w:tc>
          <w:tcPr>
            <w:tcW w:type="dxa" w:w="38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财务聚合超时，资产与工单成功</w:t>
            </w:r>
          </w:p>
        </w:tc>
        <w:tc>
          <w:tcPr>
            <w:tcW w:type="dxa" w:w="424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现金流/收入组件显示处理失败及最后成功时间；出租率和工单正常展示，现金流不得显示HK$0。</w:t>
            </w:r>
          </w:p>
        </w:tc>
      </w:tr>
    </w:tbl>
    <w:p>
      <w:pPr>
        <w:spacing w:after="0"/>
      </w:pPr>
    </w:p>
    <w:p>
      <w:pPr>
        <w:pStyle w:val="Heading1"/>
      </w:pPr>
      <w:r>
        <w:t>4 数据返回字段规格</w:t>
      </w:r>
    </w:p>
    <w:tbl>
      <w:tblPr>
        <w:tblStyle w:val="TableGrid"/>
        <w:tblW w:type="dxa" w:w="10224"/>
        <w:jc w:val="center"/>
        <w:tblLayout w:type="fixed"/>
        <w:tblLook w:firstColumn="1" w:firstRow="1" w:lastColumn="0" w:lastRow="0" w:noHBand="0" w:noVBand="1" w:val="04A0"/>
      </w:tblPr>
      <w:tblGrid>
        <w:gridCol w:w="1656"/>
        <w:gridCol w:w="1944"/>
        <w:gridCol w:w="2160"/>
        <w:gridCol w:w="4464"/>
      </w:tblGrid>
      <w:tr>
        <w:trPr>
          <w:tblHeader/>
        </w:trPr>
        <w:tc>
          <w:tcPr>
            <w:tcW w:type="dxa" w:w="1656"/>
            <w:shd w:fill="17365D"/>
            <w:tcMar>
              <w:top w:w="75" w:type="dxa"/>
              <w:start w:w="100" w:type="dxa"/>
              <w:bottom w:w="75" w:type="dxa"/>
              <w:end w:w="100" w:type="dxa"/>
            </w:tcMar>
            <w:vAlign w:val="center"/>
          </w:tcPr>
          <w:p>
            <w:r>
              <w:rPr>
                <w:rFonts w:ascii="Calibri" w:hAnsi="Calibri" w:eastAsia="Microsoft YaHei"/>
                <w:b/>
                <w:color w:val="FFFFFF"/>
                <w:sz w:val="16"/>
              </w:rPr>
              <w:t>字段ID</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字段</w:t>
            </w:r>
          </w:p>
        </w:tc>
        <w:tc>
          <w:tcPr>
            <w:tcW w:type="dxa" w:w="2160"/>
            <w:shd w:fill="17365D"/>
            <w:tcMar>
              <w:top w:w="75" w:type="dxa"/>
              <w:start w:w="100" w:type="dxa"/>
              <w:bottom w:w="75" w:type="dxa"/>
              <w:end w:w="100" w:type="dxa"/>
            </w:tcMar>
            <w:vAlign w:val="center"/>
          </w:tcPr>
          <w:p>
            <w:r>
              <w:rPr>
                <w:rFonts w:ascii="Calibri" w:hAnsi="Calibri" w:eastAsia="Microsoft YaHei"/>
                <w:b/>
                <w:color w:val="FFFFFF"/>
                <w:sz w:val="16"/>
              </w:rPr>
              <w:t>来源</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6"/>
              </w:rPr>
              <w:t>展示与交互规则</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OS-OPS-PRD-01-L01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指标名称</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OS-OPS-PRD-01-L02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当前值</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OS-OPS-PRD-01-L03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统计周期</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服务端时间</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按香港时间显示；空值显示—，排序使用原始时间。</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OS-OPS-PRD-01-L04</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同比或环比</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OS-OPS-PRD-01-L05</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目标值</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OS-OPS-PRD-01-L06</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偏差</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OS-OPS-PRD-01-L07</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数据更新时间</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服务端时间</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按香港时间显示；空值显示—，排序使用原始时间。</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OS-OPS-PRD-01-L08</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统计口径</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OS-OPS-PRD-01-L09</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下钻入口</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bl>
    <w:p>
      <w:pPr>
        <w:spacing w:after="0"/>
      </w:pPr>
    </w:p>
    <w:p>
      <w:pPr>
        <w:pStyle w:val="Heading1"/>
      </w:pPr>
      <w:r>
        <w:t>5 报告生成参数</w:t>
      </w:r>
    </w:p>
    <w:tbl>
      <w:tblPr>
        <w:tblStyle w:val="TableGrid"/>
        <w:tblW w:type="dxa" w:w="10224"/>
        <w:jc w:val="center"/>
        <w:tblLayout w:type="fixed"/>
        <w:tblLook w:firstColumn="1" w:firstRow="1" w:lastColumn="0" w:lastRow="0" w:noHBand="0" w:noVBand="1" w:val="04A0"/>
      </w:tblPr>
      <w:tblGrid>
        <w:gridCol w:w="1584"/>
        <w:gridCol w:w="1872"/>
        <w:gridCol w:w="1728"/>
        <w:gridCol w:w="1152"/>
        <w:gridCol w:w="3888"/>
      </w:tblGrid>
      <w:tr>
        <w:trPr>
          <w:tblHeader/>
        </w:trPr>
        <w:tc>
          <w:tcPr>
            <w:tcW w:type="dxa" w:w="1584"/>
            <w:shd w:fill="17365D"/>
            <w:tcMar>
              <w:top w:w="75" w:type="dxa"/>
              <w:start w:w="100" w:type="dxa"/>
              <w:bottom w:w="75" w:type="dxa"/>
              <w:end w:w="100" w:type="dxa"/>
            </w:tcMar>
            <w:vAlign w:val="center"/>
          </w:tcPr>
          <w:p>
            <w:r>
              <w:rPr>
                <w:rFonts w:ascii="Calibri" w:hAnsi="Calibri" w:eastAsia="Microsoft YaHei"/>
                <w:b/>
                <w:color w:val="FFFFFF"/>
                <w:sz w:val="15"/>
              </w:rPr>
              <w:t>字段ID</w:t>
            </w:r>
          </w:p>
        </w:tc>
        <w:tc>
          <w:tcPr>
            <w:tcW w:type="dxa" w:w="1872"/>
            <w:shd w:fill="17365D"/>
            <w:tcMar>
              <w:top w:w="75" w:type="dxa"/>
              <w:start w:w="100" w:type="dxa"/>
              <w:bottom w:w="75" w:type="dxa"/>
              <w:end w:w="100" w:type="dxa"/>
            </w:tcMar>
            <w:vAlign w:val="center"/>
          </w:tcPr>
          <w:p>
            <w:r>
              <w:rPr>
                <w:rFonts w:ascii="Calibri" w:hAnsi="Calibri" w:eastAsia="Microsoft YaHei"/>
                <w:b/>
                <w:color w:val="FFFFFF"/>
                <w:sz w:val="15"/>
              </w:rPr>
              <w:t>字段</w:t>
            </w:r>
          </w:p>
        </w:tc>
        <w:tc>
          <w:tcPr>
            <w:tcW w:type="dxa" w:w="1728"/>
            <w:shd w:fill="17365D"/>
            <w:tcMar>
              <w:top w:w="75" w:type="dxa"/>
              <w:start w:w="100" w:type="dxa"/>
              <w:bottom w:w="75" w:type="dxa"/>
              <w:end w:w="100" w:type="dxa"/>
            </w:tcMar>
            <w:vAlign w:val="center"/>
          </w:tcPr>
          <w:p>
            <w:r>
              <w:rPr>
                <w:rFonts w:ascii="Calibri" w:hAnsi="Calibri" w:eastAsia="Microsoft YaHei"/>
                <w:b/>
                <w:color w:val="FFFFFF"/>
                <w:sz w:val="15"/>
              </w:rPr>
              <w:t>控件</w:t>
            </w:r>
          </w:p>
        </w:tc>
        <w:tc>
          <w:tcPr>
            <w:tcW w:type="dxa" w:w="1152"/>
            <w:shd w:fill="17365D"/>
            <w:tcMar>
              <w:top w:w="75" w:type="dxa"/>
              <w:start w:w="100" w:type="dxa"/>
              <w:bottom w:w="75" w:type="dxa"/>
              <w:end w:w="100" w:type="dxa"/>
            </w:tcMar>
            <w:vAlign w:val="center"/>
          </w:tcPr>
          <w:p>
            <w:r>
              <w:rPr>
                <w:rFonts w:ascii="Calibri" w:hAnsi="Calibri" w:eastAsia="Microsoft YaHei"/>
                <w:b/>
                <w:color w:val="FFFFFF"/>
                <w:sz w:val="15"/>
              </w:rPr>
              <w:t>必填</w:t>
            </w:r>
          </w:p>
        </w:tc>
        <w:tc>
          <w:tcPr>
            <w:tcW w:type="dxa" w:w="3888"/>
            <w:shd w:fill="17365D"/>
            <w:tcMar>
              <w:top w:w="75" w:type="dxa"/>
              <w:start w:w="100" w:type="dxa"/>
              <w:bottom w:w="75" w:type="dxa"/>
              <w:end w:w="100" w:type="dxa"/>
            </w:tcMar>
            <w:vAlign w:val="center"/>
          </w:tcPr>
          <w:p>
            <w:r>
              <w:rPr>
                <w:rFonts w:ascii="Calibri" w:hAnsi="Calibri" w:eastAsia="Microsoft YaHei"/>
                <w:b/>
                <w:color w:val="FFFFFF"/>
                <w:sz w:val="15"/>
              </w:rPr>
              <w:t>校验与保存规则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OS-OPS-PRD-01-F01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统计周期</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OS-OPS-PRD-01-F02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区域</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OS-OPS-PRD-01-F03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店铺</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OS-OPS-PRD-01-F04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业务类型</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OS-OPS-PRD-01-F05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对比周期</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OS-OPS-PRD-01-F06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报告格式</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OS-OPS-PRD-01-F07</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接收邮箱</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邮箱输入</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格式校验并转小写保存检索值。</w:t>
            </w:r>
          </w:p>
        </w:tc>
      </w:tr>
    </w:tbl>
    <w:p>
      <w:pPr>
        <w:spacing w:after="0"/>
      </w:pPr>
    </w:p>
    <w:p>
      <w:pPr>
        <w:pStyle w:val="ListBullet"/>
      </w:pPr>
      <w:r>
        <w:t>报告生成使用当前筛选、数据截止时间和指标口径版本，生成后不可静默改写</w:t>
      </w:r>
    </w:p>
    <w:p>
      <w:pPr>
        <w:pStyle w:val="ListBullet"/>
      </w:pPr>
      <w:r>
        <w:t>接收邮箱仅允许组织通讯录中的获授权地址；报告下载和邮件发送记录审计</w:t>
      </w:r>
    </w:p>
    <w:p>
      <w:pPr>
        <w:pStyle w:val="ListBullet"/>
      </w:pPr>
      <w:r>
        <w:t>生成前如存在处理失败组件必须阻止生成，存在数据已过期或部分数据可用组件须二次确认并在报告显著标注</w:t>
      </w:r>
    </w:p>
    <w:p>
      <w:pPr>
        <w:pStyle w:val="Heading1"/>
      </w:pPr>
      <w:r>
        <w:t>6 功能点详细设计</w:t>
      </w:r>
    </w:p>
    <w:tbl>
      <w:tblPr>
        <w:tblStyle w:val="TableGrid"/>
        <w:tblW w:type="dxa" w:w="10224"/>
        <w:jc w:val="center"/>
        <w:tblLayout w:type="fixed"/>
        <w:tblLook w:firstColumn="1" w:firstRow="1" w:lastColumn="0" w:lastRow="0" w:noHBand="0" w:noVBand="1" w:val="04A0"/>
      </w:tblPr>
      <w:tblGrid>
        <w:gridCol w:w="1800"/>
        <w:gridCol w:w="2232"/>
        <w:gridCol w:w="619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6"/>
              </w:rPr>
              <w:t>功能编号</w:t>
            </w:r>
          </w:p>
        </w:tc>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功能点</w:t>
            </w:r>
          </w:p>
        </w:tc>
        <w:tc>
          <w:tcPr>
            <w:tcW w:type="dxa" w:w="6192"/>
            <w:shd w:fill="17365D"/>
            <w:tcMar>
              <w:top w:w="75" w:type="dxa"/>
              <w:start w:w="100" w:type="dxa"/>
              <w:bottom w:w="75" w:type="dxa"/>
              <w:end w:w="100" w:type="dxa"/>
            </w:tcMar>
            <w:vAlign w:val="center"/>
          </w:tcPr>
          <w:p>
            <w:r>
              <w:rPr>
                <w:rFonts w:ascii="Calibri" w:hAnsi="Calibri" w:eastAsia="Microsoft YaHei"/>
                <w:b/>
                <w:color w:val="FFFFFF"/>
                <w:sz w:val="16"/>
              </w:rPr>
              <w:t>目标</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OS-OPS-PRD-01-FP01</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切换统计周期</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选择本周、本月或本季；所有卡片、图表和列表使用同一时间范围并显示截止时间。</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OS-OPS-PRD-01-FP02</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指标口径说明</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点击问号展示分子、分母、排除项、时间口径和数据源，口径版本随报告归档。</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OS-OPS-PRD-01-FP03</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指标下钻</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点击成交、到期、续租、工单或仓位指标，携带当前筛选跳转到对应模块。</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OS-OPS-PRD-01-FP04</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生成报告</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校验数据计算状态后生成带口径版本的报告；失败时保留任务编号并允许重试。</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OS-OPS-PRD-01-FP05</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地图与门店下钻</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选择门店标记后展示仓位总数、已租、到期风险及门店详情入口。</w:t>
            </w:r>
          </w:p>
        </w:tc>
      </w:tr>
    </w:tbl>
    <w:p>
      <w:pPr>
        <w:spacing w:after="0"/>
      </w:pPr>
    </w:p>
    <w:p>
      <w:pPr>
        <w:pStyle w:val="Heading2"/>
      </w:pPr>
      <w:r>
        <w:t>6.1 切换统计周期</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OS-OPS-PRD-01-FP01。功能目的为选择本周、本月或本季；所有卡片、图表和列表使用同一时间范围并显示截止时间。</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拥有对应数据权限范围的查询用户；从指标卡、图表、列表行标题或详情入口进入。入口显示前先校验菜单权限、动作权限和数据范围。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用户登录有效，拥有菜单和对象查看权限，查询条件属于数据权限范围；打开详情时对象存在。敏感字段、金额和状态必须回源。</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从卡片、列表或关联编号进入，加载店铺、数据更新时间及时间线；切换页签或筛选不改变主对象，返回时保留来源页条件。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服务端校验身份、数据权限范围和字段脱敏后查询 /ops/v1/dashboard；返回数据版本、关联对象、时间线和当前允许操作。选择本周、本月或本季；所有卡片、图表和列表使用同一时间范围并显示截止时间。</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查询、详情、统计和下钻必须使用同一数据权限范围；敏感字段按权限脱敏；刷新时回源获取最新状态。。所有校验必须由服务端再次执行，前端校验只用于即时反馈。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界面完成切换统计周期并显示最新数据、截止时间、关联对象和允许操作；查询本身不改变业务状态。涉及敏感原文查看时单独记录访问审计。</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400定位到具体字段并保留输入；403隐藏敏感内容并记录拒绝审计；409展示最新状态并要求刷新；超时先按客户端请求编号查询执行结果；部分成功展示逐项明细和补偿入口。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小程序成交、付款、退租和续租结果通过领域事件更新经营指标。跨端消息只携带业务编号，接收端打开后重新鉴权并查询最新状态。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切换统计周期只返回数据权限范围内且按权限脱敏的数据；刷新前后无业务写入，筛选、详情和导出对同一对象的字段值一致。</w:t>
      </w:r>
    </w:p>
    <w:p>
      <w:pPr>
        <w:pStyle w:val="Heading2"/>
      </w:pPr>
      <w:r>
        <w:t>6.2 指标口径说明</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OS-OPS-PRD-01-FP02。功能目的为点击问号展示分子、分母、排除项、时间口径和数据源，口径版本随报告归档。</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用户登录有效；目标对象存在且属于用户数据权限范围；当前状态包含该动作；页面持有最新数据版本和当前允许操作。涉及金额、库存、附件或第三方结果时必须回源确认。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在详情页执行指标口径说明，填写或核对店铺、数据更新时间；界面随步骤显示当前节点、下一步和可撤回条件。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/ops/v1/dashboard/{id}/actions/{action}，校验权限、当前状态、预期数据版本和业务不变量，在事务中写入状态及时间线。点击问号展示分子、分母、排除项、时间口径和数据源，口径版本随报告归档。</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指标必须显示数据截止时间，禁止把缓存时间写成业务发生时间；下钻结果总数必须能与指标口径解释一致；部分数据源失败时明确标记受影响指标，不显示为零。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页面提示“指标口径说明成功”，刷新对象状态、数据版本、当前允许操作、关联对象和时间线；如产生异步任务，同时显示任务编号和进度入口。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400定位到具体字段并保留输入；403隐藏敏感内容并记录拒绝审计；409展示最新状态并要求刷新；超时先按客户端请求编号查询执行结果；部分成功展示逐项明细和补偿入口。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工单小程序的接单、签到、完成和退回更新SLA统计。跨端消息只携带业务编号，接收端打开后重新鉴权并查询最新状态。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在允许状态下完成指标口径说明时仅产生一次预期数据变化和一次审计记录；越权、错误状态、重复提交及版本冲突均不得产生重复对象或越级状态。</w:t>
      </w:r>
    </w:p>
    <w:p>
      <w:pPr>
        <w:pStyle w:val="Heading2"/>
      </w:pPr>
      <w:r>
        <w:t>6.3 指标下钻</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OS-OPS-PRD-01-FP03。功能目的为点击成交、到期、续租、工单或仓位指标，携带当前筛选跳转到对应模块。</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拥有对应数据权限范围的查询用户；从指标卡、图表、列表行标题或详情入口进入。入口显示前先校验菜单权限、动作权限和数据范围。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用户登录有效，拥有菜单和对象查看权限，查询条件属于数据权限范围；打开详情时对象存在。敏感字段、金额和状态必须回源。</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从卡片、列表或关联编号进入，加载店铺、数据更新时间及时间线；切换页签或筛选不改变主对象，返回时保留来源页条件。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服务端校验身份、数据权限范围和字段脱敏后查询 /ops/v1/dashboard；返回数据版本、关联对象、时间线和当前允许操作。点击成交、到期、续租、工单或仓位指标，携带当前筛选跳转到对应模块。</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指标必须显示数据截止时间，禁止把缓存时间写成业务发生时间；下钻结果总数必须能与指标口径解释一致；部分数据源失败时明确标记受影响指标，不显示为零。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界面完成指标下钻并显示最新数据、截止时间、关联对象和允许操作；查询本身不改变业务状态。涉及敏感原文查看时单独记录访问审计。</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400定位到具体字段并保留输入；403隐藏敏感内容并记录拒绝审计；409展示最新状态并要求刷新；超时先按客户端请求编号查询执行结果；部分成功展示逐项明细和补偿入口。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任何跨端事件延迟不改变详情主数据，用户下钻时回源查询。跨端消息只携带业务编号，接收端打开后重新鉴权并查询最新状态。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指标下钻只返回数据权限范围内且按权限脱敏的数据；刷新前后无业务写入，筛选、详情和导出对同一对象的字段值一致。</w:t>
      </w:r>
    </w:p>
    <w:p>
      <w:pPr>
        <w:pStyle w:val="Heading2"/>
      </w:pPr>
      <w:r>
        <w:t>6.4 生成报告</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OS-OPS-PRD-01-FP04。功能目的为校验数据计算状态后生成带口径版本的报告；失败时保留任务编号并允许重试。</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具备本模块创建权限的运营人员；从模块列表右上角新增入口或关联对象快捷入口进入。入口显示前先校验菜单权限、动作权限和数据范围。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用户登录有效并具备创建或批量权限；关联主数据有效且属于数据权限范围；页面已加载最新字典、业务配置和当前允许操作。</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打开新增界面，按页面分组录入统计周期、区域、店铺、业务类型、对比周期、报告格式、接收邮箱、指标名称、当前值、同比或环比、目标值、偏差；关联对象使用检索选择。点击保存前完成字段级和跨字段校验。</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服务端使用客户端请求编号幂等校验，在事务内生成业务编号、主对象、初始状态和审计记录；事务提交后发布领域事件。校验数据计算状态后生成带口径版本的报告；失败时保留任务编号并允许重试。</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指标必须显示数据截止时间，禁止把缓存时间写成业务发生时间；现金流、收入、订单和出租率分别使用财务、订单和资产主域数据。所有校验必须由服务端再次执行，前端校验只用于即时反馈。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页面提示“生成报告成功”，刷新对象状态、数据版本、当前允许操作、关联对象和时间线；如产生异步任务，同时显示任务编号和进度入口。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400定位到具体字段并保留输入；403隐藏敏感内容并记录拒绝审计；409展示最新状态并要求刷新；超时先按客户端请求编号查询执行结果；部分成功展示逐项明细和补偿入口。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小程序成交、付款、退租和续租结果通过领域事件更新经营指标。跨端消息只携带业务编号，接收端打开后重新鉴权并查询最新状态。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在允许状态下完成生成报告时仅产生一次预期数据变化和一次审计记录；越权、错误状态、重复提交及版本冲突均不得产生重复对象或越级状态。</w:t>
      </w:r>
    </w:p>
    <w:p>
      <w:pPr>
        <w:pStyle w:val="Heading2"/>
      </w:pPr>
      <w:r>
        <w:t>6.5 地图与门店下钻</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OS-OPS-PRD-01-FP05。功能目的为选择门店标记后展示仓位总数、已租、到期风险及门店详情入口。</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拥有对应数据权限范围的查询用户；从指标卡、图表、列表行标题或详情入口进入。入口显示前先校验菜单权限、动作权限和数据范围。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用户登录有效，拥有菜单和对象查看权限，查询条件属于数据权限范围；打开详情时对象存在。敏感字段、金额和状态必须回源。</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从卡片、列表或关联编号进入，加载店铺、数据更新时间及时间线；切换页签或筛选不改变主对象，返回时保留来源页条件。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服务端校验身份、数据权限范围和字段脱敏后查询 /ops/v1/dashboard；返回数据版本、关联对象、时间线和当前允许操作。选择门店标记后展示仓位总数、已租、到期风险及门店详情入口。</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下钻结果总数必须能与指标口径解释一致。所有校验必须由服务端再次执行，前端校验只用于即时反馈。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界面完成地图与门店下钻并显示最新数据、截止时间、关联对象和允许操作；查询本身不改变业务状态。涉及敏感原文查看时单独记录访问审计。</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400定位到具体字段并保留输入；403隐藏敏感内容并记录拒绝审计；409展示最新状态并要求刷新；超时先按客户端请求编号查询执行结果；部分成功展示逐项明细和补偿入口。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工单小程序的接单、签到、完成和退回更新SLA统计。跨端消息只携带业务编号，接收端打开后重新鉴权并查询最新状态。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地图与门店下钻只返回数据权限范围内且按权限脱敏的数据；刷新前后无业务写入，筛选、详情和导出对同一对象的字段值一致。</w:t>
      </w:r>
    </w:p>
    <w:p>
      <w:pPr>
        <w:pStyle w:val="Heading2"/>
      </w:pPr>
      <w:r>
        <w:t>6.6 查询与报告生成时序</w:t>
      </w:r>
    </w:p>
    <w:p>
      <w:pPr>
        <w:pStyle w:val="ListBullet"/>
      </w:pPr>
      <w:r>
        <w:t>前端提交周期、数据截止时间、区域、门店、业务类型和当前数据权限范围</w:t>
      </w:r>
    </w:p>
    <w:p>
      <w:pPr>
        <w:pStyle w:val="ListBullet"/>
      </w:pPr>
      <w:r>
        <w:t>聚合服务并行查询指标组件，每个组件返回独立状态、数据截止水位和指标口径版本</w:t>
      </w:r>
    </w:p>
    <w:p>
      <w:pPr>
        <w:pStyle w:val="ListBullet"/>
      </w:pPr>
      <w:r>
        <w:t>前端按组件渲染成功、过期、部分成功、失败或无权限状态，并显示全页最晚截止时间</w:t>
      </w:r>
    </w:p>
    <w:p>
      <w:pPr>
        <w:pStyle w:val="ListBullet"/>
      </w:pPr>
      <w:r>
        <w:t>用户点击下钻时携带原筛选及指标口径版本，目标模块按同一规则查询并显示口径摘要</w:t>
      </w:r>
    </w:p>
    <w:p>
      <w:pPr>
        <w:pStyle w:val="ListBullet"/>
      </w:pPr>
      <w:r>
        <w:t>生成报告先冻结筛选、数据截止水位与资产快照编号；任务完成后返回不可变报告编号和下载地址</w:t>
      </w:r>
    </w:p>
    <w:p>
      <w:pPr>
        <w:pStyle w:val="ListBullet"/>
      </w:pPr>
      <w:r>
        <w:t>报告生成重试沿用客户端请求编号；相同请求不得生成内容不同但编号相同的报告</w:t>
      </w:r>
    </w:p>
    <w:p>
      <w:pPr>
        <w:pStyle w:val="Heading1"/>
      </w:pPr>
      <w:r>
        <w:t>7 状态机与业务规则</w:t>
      </w:r>
    </w:p>
    <w:tbl>
      <w:tblPr>
        <w:tblStyle w:val="TableGrid"/>
        <w:tblW w:type="dxa" w:w="10728"/>
        <w:jc w:val="center"/>
        <w:tblLayout w:type="fixed"/>
        <w:tblLook w:firstColumn="1" w:firstRow="1" w:lastColumn="0" w:lastRow="0" w:noHBand="0" w:noVBand="1" w:val="04A0"/>
      </w:tblPr>
      <w:tblGrid>
        <w:gridCol w:w="1944"/>
        <w:gridCol w:w="5040"/>
        <w:gridCol w:w="3744"/>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对象</w:t>
            </w:r>
          </w:p>
        </w:tc>
        <w:tc>
          <w:tcPr>
            <w:tcW w:type="dxa" w:w="5040"/>
            <w:shd w:fill="17365D"/>
            <w:tcMar>
              <w:top w:w="75" w:type="dxa"/>
              <w:start w:w="100" w:type="dxa"/>
              <w:bottom w:w="75" w:type="dxa"/>
              <w:end w:w="100" w:type="dxa"/>
            </w:tcMar>
            <w:vAlign w:val="center"/>
          </w:tcPr>
          <w:p>
            <w:r>
              <w:rPr>
                <w:rFonts w:ascii="Calibri" w:hAnsi="Calibri" w:eastAsia="Microsoft YaHei"/>
                <w:b/>
                <w:color w:val="FFFFFF"/>
                <w:sz w:val="16"/>
              </w:rPr>
              <w:t>状态流转</w:t>
            </w:r>
          </w:p>
        </w:tc>
        <w:tc>
          <w:tcPr>
            <w:tcW w:type="dxa" w:w="3744"/>
            <w:shd w:fill="17365D"/>
            <w:tcMar>
              <w:top w:w="75" w:type="dxa"/>
              <w:start w:w="100" w:type="dxa"/>
              <w:bottom w:w="75" w:type="dxa"/>
              <w:end w:w="100" w:type="dxa"/>
            </w:tcMar>
            <w:vAlign w:val="center"/>
          </w:tcPr>
          <w:p>
            <w:r>
              <w:rPr>
                <w:rFonts w:ascii="Calibri" w:hAnsi="Calibri" w:eastAsia="Microsoft YaHei"/>
                <w:b/>
                <w:color w:val="FFFFFF"/>
                <w:sz w:val="16"/>
              </w:rPr>
              <w:t>控制要求</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运营总览</w:t>
            </w:r>
          </w:p>
        </w:tc>
        <w:tc>
          <w:tcPr>
            <w:tcW w:type="dxa" w:w="50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正常→关注→预警；数据任务：计算中→成功/部分成功/失败</w:t>
            </w:r>
          </w:p>
        </w:tc>
        <w:tc>
          <w:tcPr>
            <w:tcW w:type="dxa" w:w="37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状态变化必须由明确动作触发并写入操作者、时间、原因和版本。</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异步任务</w:t>
            </w:r>
          </w:p>
        </w:tc>
        <w:tc>
          <w:tcPr>
            <w:tcW w:type="dxa" w:w="50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待执行→执行中→成功/失败→重试/人工处理</w:t>
            </w:r>
          </w:p>
        </w:tc>
        <w:tc>
          <w:tcPr>
            <w:tcW w:type="dxa" w:w="37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异步失败不回滚已提交主事务，但必须可见、可重试和可审计。</w:t>
            </w:r>
          </w:p>
        </w:tc>
      </w:tr>
    </w:tbl>
    <w:p>
      <w:pPr>
        <w:spacing w:after="0"/>
      </w:pP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业务规则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OS-OPS-PRD-01-R01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指标必须显示数据截止时间，禁止把缓存时间写成业务发生时间</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OS-OPS-PRD-01-R02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现金流、收入、订单和出租率分别使用财务、订单和资产主域数据</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OS-OPS-PRD-01-R03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下钻结果总数必须能与指标口径解释一致</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OS-OPS-PRD-01-R04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部分数据源失败时明确标记受影响指标，不显示为零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OS-OPS-PRD-01-R05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所有写请求携带客户端请求编号和预期数据版本，重复请求返回首次结果</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OS-OPS-PRD-01-R06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服务端返回当前允许操作，前端仅据此展示按钮，后端仍逐动作鉴权</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OS-OPS-PRD-01-R07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列表、详情、关联选择器、统计和导出使用同一数据范围</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OS-OPS-PRD-01-R08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创建、编辑、状态流转、导出、下载和审批均记录操作审计</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OS-OPS-PRD-01-R09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第三方调用失败不得伪装主业务成功，进入可重试或人工处理状态</w:t>
            </w:r>
          </w:p>
        </w:tc>
      </w:tr>
    </w:tbl>
    <w:p>
      <w:pPr>
        <w:spacing w:after="0"/>
      </w:pPr>
    </w:p>
    <w:p>
      <w:pPr>
        <w:pStyle w:val="Heading1"/>
      </w:pPr>
      <w:r>
        <w:t>8 业务处理链路</w:t>
      </w:r>
    </w:p>
    <w:p>
      <w:pPr>
        <w:pStyle w:val="ListBullet"/>
      </w:pPr>
      <w:r>
        <w:t>该模块以配置、查询或治理操作为主，不单独建立客户履约BPMN</w:t>
      </w:r>
    </w:p>
    <w:p>
      <w:pPr>
        <w:pStyle w:val="ListBullet"/>
      </w:pPr>
      <w:r>
        <w:t>如操作触发下游状态变化，使用领域事件并在目标模块流程中处理</w:t>
      </w:r>
    </w:p>
    <w:p>
      <w:pPr>
        <w:pStyle w:val="ListBullet"/>
      </w:pPr>
      <w:r>
        <w:t>批量、导出和异步任务必须提供任务状态、结果下载和失败明细</w:t>
      </w:r>
    </w:p>
    <w:p>
      <w:pPr>
        <w:pStyle w:val="Heading1"/>
      </w:pPr>
      <w:r>
        <w:t>9 跨端交互规则</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交互规则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OS-OPS-PRD-01-X01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小程序成交、付款、退租和续租结果通过领域事件更新经营指标</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OS-OPS-PRD-01-X02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工单小程序的接单、签到、完成和退回更新SLA统计</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OS-OPS-PRD-01-X03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任何跨端事件延迟不改变详情主数据，用户下钻时回源查询</w:t>
            </w:r>
          </w:p>
        </w:tc>
      </w:tr>
    </w:tbl>
    <w:p>
      <w:pPr>
        <w:spacing w:after="0"/>
      </w:pPr>
    </w:p>
    <w:p>
      <w:pPr>
        <w:pStyle w:val="ListBullet"/>
      </w:pPr>
      <w:r>
        <w:t>客户小程序仅访问本人客户编号关联数据；内部小程序仅访问本人或团队任务</w:t>
      </w:r>
    </w:p>
    <w:p>
      <w:pPr>
        <w:pStyle w:val="ListBullet"/>
      </w:pPr>
      <w:r>
        <w:t>深链只携带业务编号，不携带敏感原文；打开后重新校验登录、权限和最新状态</w:t>
      </w:r>
    </w:p>
    <w:p>
      <w:pPr>
        <w:pStyle w:val="ListBullet"/>
      </w:pPr>
      <w:r>
        <w:t>客户端缓存仅用于展示，金额、库存、状态和当前允许操作必须回源</w:t>
      </w:r>
    </w:p>
    <w:p>
      <w:pPr>
        <w:pStyle w:val="ListBullet"/>
      </w:pPr>
      <w:r>
        <w:t>离线或网络重试沿用同一客户端请求编号，禁止产生重复业务对象</w:t>
      </w:r>
    </w:p>
    <w:p>
      <w:pPr>
        <w:pStyle w:val="Heading1"/>
      </w:pPr>
      <w:r>
        <w:t>10 接口与事件契约</w:t>
      </w:r>
    </w:p>
    <w:tbl>
      <w:tblPr>
        <w:tblStyle w:val="TableGrid"/>
        <w:tblW w:type="dxa" w:w="10224"/>
        <w:jc w:val="center"/>
        <w:tblLayout w:type="fixed"/>
        <w:tblLook w:firstColumn="1" w:firstRow="1" w:lastColumn="0" w:lastRow="0" w:noHBand="0" w:noVBand="1" w:val="04A0"/>
      </w:tblPr>
      <w:tblGrid>
        <w:gridCol w:w="1728"/>
        <w:gridCol w:w="3672"/>
        <w:gridCol w:w="4824"/>
      </w:tblGrid>
      <w:tr>
        <w:trPr>
          <w:tblHeader/>
        </w:trPr>
        <w:tc>
          <w:tcPr>
            <w:tcW w:type="dxa" w:w="1728"/>
            <w:shd w:fill="17365D"/>
            <w:tcMar>
              <w:top w:w="75" w:type="dxa"/>
              <w:start w:w="100" w:type="dxa"/>
              <w:bottom w:w="75" w:type="dxa"/>
              <w:end w:w="100" w:type="dxa"/>
            </w:tcMar>
            <w:vAlign w:val="center"/>
          </w:tcPr>
          <w:p>
            <w:r>
              <w:rPr>
                <w:rFonts w:ascii="Calibri" w:hAnsi="Calibri" w:eastAsia="Microsoft YaHei"/>
                <w:b/>
                <w:color w:val="FFFFFF"/>
                <w:sz w:val="16"/>
              </w:rPr>
              <w:t>契约</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建议路径或事件</w:t>
            </w:r>
          </w:p>
        </w:tc>
        <w:tc>
          <w:tcPr>
            <w:tcW w:type="dxa" w:w="4824"/>
            <w:shd w:fill="17365D"/>
            <w:tcMar>
              <w:top w:w="75" w:type="dxa"/>
              <w:start w:w="100" w:type="dxa"/>
              <w:bottom w:w="75" w:type="dxa"/>
              <w:end w:w="100" w:type="dxa"/>
            </w:tcMar>
            <w:vAlign w:val="center"/>
          </w:tcPr>
          <w:p>
            <w:r>
              <w:rPr>
                <w:rFonts w:ascii="Calibri" w:hAnsi="Calibri" w:eastAsia="Microsoft YaHei"/>
                <w:b/>
                <w:color w:val="FFFFFF"/>
                <w:sz w:val="16"/>
              </w:rPr>
              <w:t>关键要求</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总览查询</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GET /ops/v1/dashboard/summary</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筛选、数据权限范围、数据截止时间、指标口径版本及各组件独立状态</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图表查询</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GET /ops/v1/dashboard/charts/{指标编号}</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维度序列、原始分子分母、快照或数据截止水位、下钻地址</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指标下钻</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GET /ops/v1/dashboard/drilldowns/{指标编号}</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复用指标口径，分页明细总数必须可解释性对账</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生成报告</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POST /ops/v1/dashboard/reports</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客户端请求编号幂等；冻结筛选、指标口径版本、数据截止水位和快照</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报告任务</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GET /ops/v1/dashboard/reports/{报告编号}</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状态、部分数据声明、失败原因和短期签名下载地址</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指标失效事件</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总览指标.Invalidated.v1</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事件编号、指标编号集合、dimensions、发生时间；用于定向刷新缓存</w:t>
            </w:r>
          </w:p>
        </w:tc>
      </w:tr>
    </w:tbl>
    <w:p>
      <w:pPr>
        <w:spacing w:after="0"/>
      </w:pPr>
    </w:p>
    <w:p>
      <w:pPr>
        <w:pStyle w:val="Heading1"/>
      </w:pPr>
      <w:r>
        <w:t>11 异常与边界处理</w:t>
      </w:r>
    </w:p>
    <w:tbl>
      <w:tblPr>
        <w:tblStyle w:val="TableGrid"/>
        <w:tblW w:type="dxa" w:w="10224"/>
        <w:jc w:val="center"/>
        <w:tblLayout w:type="fixed"/>
        <w:tblLook w:firstColumn="1" w:firstRow="1" w:lastColumn="0" w:lastRow="0" w:noHBand="0" w:noVBand="1" w:val="04A0"/>
      </w:tblPr>
      <w:tblGrid>
        <w:gridCol w:w="1944"/>
        <w:gridCol w:w="4608"/>
        <w:gridCol w:w="3672"/>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场景</w:t>
            </w:r>
          </w:p>
        </w:tc>
        <w:tc>
          <w:tcPr>
            <w:tcW w:type="dxa" w:w="4608"/>
            <w:shd w:fill="17365D"/>
            <w:tcMar>
              <w:top w:w="75" w:type="dxa"/>
              <w:start w:w="100" w:type="dxa"/>
              <w:bottom w:w="75" w:type="dxa"/>
              <w:end w:w="100" w:type="dxa"/>
            </w:tcMar>
            <w:vAlign w:val="center"/>
          </w:tcPr>
          <w:p>
            <w:r>
              <w:rPr>
                <w:rFonts w:ascii="Calibri" w:hAnsi="Calibri" w:eastAsia="Microsoft YaHei"/>
                <w:b/>
                <w:color w:val="FFFFFF"/>
                <w:sz w:val="16"/>
              </w:rPr>
              <w:t>系统处理</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用户反馈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字段校验失败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返回400及字段级错误，不写业务数据</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定位到字段并保留其他输入</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无权限或超出数据范围</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返回403并记录拒绝审计</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提示无权执行，不泄露对象内容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对象不存在</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返回404</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显示记录不存在或已移除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版本冲突</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返回409和最新数据版本摘要</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要求刷新，不执行最后写入覆盖</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重复请求</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按幂等键返回首次结果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显示原业务编号</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第三方超时</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状态进入处理中或失败待重试</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显示任务编号和可重试条件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不提交依赖附件的业务动作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显示失败文件和重新上传入口</w:t>
            </w:r>
          </w:p>
        </w:tc>
      </w:tr>
    </w:tbl>
    <w:p>
      <w:pPr>
        <w:spacing w:after="0"/>
      </w:pPr>
    </w:p>
    <w:p>
      <w:pPr>
        <w:pStyle w:val="Heading1"/>
      </w:pPr>
      <w:r>
        <w:t>12 验收标准</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OS-OPS-PRD-01-AC01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K01至K09均返回明确分子、分母、时间锚点、排除项、指标口径版本和数据截止时间。</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OS-OPS-PRD-01-AC02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C01至C15按本文档维度和公式计算；区域、门店、周期联动后不得通过平均汇总率。</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OS-OPS-PRD-01-AC03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84÷317显示26.5%，699÷1450显示48.21%，86.84%相对85%显示+1.84pp。</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OS-OPS-PRD-01-AC04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到期三个区间互斥且合计等于30天到期卡；门店、区域和全局汇总可逐层对账。</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OS-OPS-PRD-01-AC05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零分母显示—且返回统计分母为零；合法零值显示0；数据源失败不显示为0。</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OS-OPS-PRD-01-AC06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下钻请求携带原周期、数据截止时间、维度筛选和指标口径版本，明细数量与指标口径一致。</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OS-OPS-PRD-01-AC07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当前周期对比使用上一可比周期相同已过时长；退款和冲正进入实际完成周期。</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OS-OPS-PRD-01-AC08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财务、销售、资产、续租、工单和客户任一数据源超SLA时，仅受影响组件降级并显示最后成功时间。</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OS-OPS-PRD-01-AC09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报告冻结筛选、指标口径版本、数据截止水位和资产快照编号，重复下载内容哈希一致。</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OS-OPS-PRD-01-AC10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权限、数据权限范围、敏感明细脱敏和导出审计覆盖总览、下钻与报告下载。</w:t>
            </w:r>
          </w:p>
        </w:tc>
      </w:tr>
    </w:tbl>
    <w:p>
      <w:pPr>
        <w:spacing w:after="0"/>
      </w:pPr>
    </w:p>
    <w:p>
      <w:pPr>
        <w:pStyle w:val="Heading1"/>
      </w:pPr>
      <w:r>
        <w:t>13 研发分工</w:t>
      </w:r>
    </w:p>
    <w:tbl>
      <w:tblPr>
        <w:tblStyle w:val="TableGrid"/>
        <w:tblW w:type="dxa" w:w="10224"/>
        <w:jc w:val="center"/>
        <w:tblLayout w:type="fixed"/>
        <w:tblLook w:firstColumn="1" w:firstRow="1" w:lastColumn="0" w:lastRow="0" w:noHBand="0" w:noVBand="1" w:val="04A0"/>
      </w:tblPr>
      <w:tblGrid>
        <w:gridCol w:w="2016"/>
        <w:gridCol w:w="8208"/>
      </w:tblGrid>
      <w:tr>
        <w:trPr>
          <w:tblHeader/>
        </w:trPr>
        <w:tc>
          <w:tcPr>
            <w:tcW w:type="dxa" w:w="2016"/>
            <w:shd w:fill="17365D"/>
            <w:tcMar>
              <w:top w:w="75" w:type="dxa"/>
              <w:start w:w="100" w:type="dxa"/>
              <w:bottom w:w="75" w:type="dxa"/>
              <w:end w:w="100" w:type="dxa"/>
            </w:tcMar>
            <w:vAlign w:val="center"/>
          </w:tcPr>
          <w:p>
            <w:r>
              <w:rPr>
                <w:rFonts w:ascii="Calibri" w:hAnsi="Calibri" w:eastAsia="Microsoft YaHei"/>
                <w:b/>
                <w:color w:val="FFFFFF"/>
                <w:sz w:val="18"/>
              </w:rPr>
              <w:t>工作包</w:t>
            </w:r>
          </w:p>
        </w:tc>
        <w:tc>
          <w:tcPr>
            <w:tcW w:type="dxa" w:w="8208"/>
            <w:shd w:fill="17365D"/>
            <w:tcMar>
              <w:top w:w="75" w:type="dxa"/>
              <w:start w:w="100" w:type="dxa"/>
              <w:bottom w:w="75" w:type="dxa"/>
              <w:end w:w="100" w:type="dxa"/>
            </w:tcMar>
            <w:vAlign w:val="center"/>
          </w:tcPr>
          <w:p>
            <w:r>
              <w:rPr>
                <w:rFonts w:ascii="Calibri" w:hAnsi="Calibri" w:eastAsia="Microsoft YaHei"/>
                <w:b/>
                <w:color w:val="FFFFFF"/>
                <w:sz w:val="18"/>
              </w:rPr>
              <w:t>交付内容</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运营后台前端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列表、筛选、详情、表单、动作、权限态、异常态和埋点</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领域后端</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数据模型、状态机、校验、权限、幂等、接口和领域事件</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跨端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客户小程序或工单小程序入口、展示、申请、通知和深链</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测试</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字段、状态、权限、并发、异常、跨端一致性和回归用例</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数据与实施</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字典、主数据、迁移映射、指标口径和运营配置</w:t>
            </w:r>
          </w:p>
        </w:tc>
      </w:tr>
    </w:tbl>
    <w:p>
      <w:pPr>
        <w:spacing w:after="0"/>
      </w:pPr>
    </w:p>
    <w:sectPr w:rsidR="00FC693F" w:rsidRPr="0006063C" w:rsidSect="00034616">
      <w:headerReference w:type="default" r:id="rId9"/>
      <w:footerReference w:type="default" r:id="rId10"/>
      <w:pgSz w:w="12240" w:h="15840"/>
      <w:pgMar w:top="1037" w:right="979" w:bottom="979"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w:b w:val="0"/>
        <w:color w:val="667085"/>
        <w:sz w:val="15"/>
      </w:rPr>
      <w:t xml:space="preserve">V2.3  |  2026-09-09  |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Microsoft YaHei"/>
        <w:b/>
        <w:color w:val="17365D"/>
        <w:sz w:val="15"/>
      </w:rPr>
      <w:t>ONE STORAGE  |  OS-OPS-PRD-01  |  运营总览 PRD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Calibri" w:hAnsi="Calibri" w:eastAsia="Microsoft YaHe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60"/>
      <w:outlineLvl w:val="0"/>
    </w:pPr>
    <w:rPr>
      <w:rFonts w:asciiTheme="majorHAnsi" w:eastAsiaTheme="majorEastAsia" w:hAnsiTheme="majorHAnsi" w:cstheme="majorBidi" w:ascii="Calibri" w:hAnsi="Calibri" w:eastAsia="Microsoft YaHe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eastAsia="Microsoft YaHe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Calibri" w:hAnsi="Calibri" w:eastAsia="Microsoft YaHei"/>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