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40"/>
        <w:jc w:val="center"/>
      </w:pPr>
      <w:r>
        <w:t>客户分析 PRD</w:t>
      </w:r>
    </w:p>
    <w:p>
      <w:pPr>
        <w:jc w:val="center"/>
      </w:pPr>
      <w:r>
        <w:rPr>
          <w:rFonts w:ascii="Calibri" w:hAnsi="Calibri" w:eastAsia="Microsoft YaHei"/>
          <w:b w:val="0"/>
          <w:color w:val="667085"/>
          <w:sz w:val="26"/>
        </w:rPr>
        <w:t>运营后台研发详细需求规格</w:t>
      </w:r>
    </w:p>
    <w:p>
      <w:pPr>
        <w:spacing w:before="440"/>
        <w:jc w:val="center"/>
      </w:pPr>
      <w:r>
        <w:rPr>
          <w:rFonts w:ascii="Calibri" w:hAnsi="Calibri" w:eastAsia="Microsoft YaHei"/>
          <w:b/>
          <w:color w:val="2E74B5"/>
          <w:sz w:val="20"/>
        </w:rPr>
        <w:t>OS-OPS-PRD-11  |  V2.4  |  2026-09-09</w:t>
      </w:r>
    </w:p>
    <w:p>
      <w:pPr>
        <w:spacing w:before="1440"/>
        <w:jc w:val="center"/>
      </w:pPr>
      <w:r>
        <w:rPr>
          <w:rFonts w:ascii="Calibri" w:hAnsi="Calibri" w:eastAsia="Microsoft YaHei"/>
          <w:b w:val="0"/>
          <w:color w:val="1F2937"/>
          <w:sz w:val="22"/>
        </w:rPr>
        <w:t>按统一口径分析客户规模、增长、在租、活跃、续租、流失风险和沉默分层，为经营判断和客户下钻提供可核对的数据。</w:t>
      </w:r>
    </w:p>
    <w:p>
      <w:r/>
    </w:p>
    <w:p>
      <w:pPr>
        <w:pStyle w:val="Heading1"/>
      </w:pPr>
      <w:r>
        <w:t>1 文档目标与范围</w:t>
      </w:r>
    </w:p>
    <w:p>
      <w:r>
        <w:t>按统一口径分析客户规模、增长、在租、活跃、续租、流失风险和沉默分层，为经营判断和客户下钻提供可核对的数据。 本模块只定义统计查询、口径说明、趋势交互、明细下钻和报表导出，不提供客户或客群的新增、编辑表单。客户维护属于客户档案，营销客群和触达计划属于营销活动管理。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8"/>
              </w:rPr>
              <w:t>属性</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8"/>
              </w:rPr>
              <w:t>内容</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文档编号</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OS-OPS-PRD-11</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产品基线</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AiwaBot产品原型 V3.2 与 OneStorage运营后台原型 V1.1</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目标读者</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产品、前端、后端、数据、测试和运营</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版本</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V2.4  2026-09-09</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统计时区</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8"/>
              </w:rPr>
              <w:t>香港时间</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原型数据说明</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8"/>
              </w:rPr>
              <w:t>原型中的演示数字用于确认布局，不作为统计结果或验收基准</w:t>
            </w:r>
          </w:p>
        </w:tc>
      </w:tr>
    </w:tbl>
    <w:p>
      <w:pPr>
        <w:spacing w:after="0"/>
      </w:pPr>
    </w:p>
    <w:p>
      <w:pPr>
        <w:pStyle w:val="Heading2"/>
      </w:pPr>
      <w:r>
        <w:t>1.1 原型界面依据</w:t>
      </w:r>
    </w:p>
    <w:p>
      <w:r>
        <w:t>本模块界面直接取自 AiwaBot产品原型-v3.2.html。真实截图及其与功能点的对应关系见第2.1节。</w:t>
      </w:r>
    </w:p>
    <w:p>
      <w:pPr>
        <w:pStyle w:val="Heading1"/>
      </w:pPr>
      <w:r>
        <w:t>2 用户角色与权限</w:t>
      </w:r>
    </w:p>
    <w:tbl>
      <w:tblPr>
        <w:tblStyle w:val="TableGrid"/>
        <w:tblW w:type="dxa" w:w="10224"/>
        <w:jc w:val="center"/>
        <w:tblLayout w:type="fixed"/>
        <w:tblLook w:firstColumn="1" w:firstRow="1" w:lastColumn="0" w:lastRow="0" w:noHBand="0" w:noVBand="1" w:val="04A0"/>
      </w:tblPr>
      <w:tblGrid>
        <w:gridCol w:w="2016"/>
        <w:gridCol w:w="2952"/>
        <w:gridCol w:w="5256"/>
      </w:tblGrid>
      <w:tr>
        <w:trPr>
          <w:tblHeader/>
        </w:trPr>
        <w:tc>
          <w:tcPr>
            <w:tcW w:type="dxa" w:w="2016"/>
            <w:shd w:fill="17365D"/>
            <w:tcMar>
              <w:top w:w="75" w:type="dxa"/>
              <w:start w:w="100" w:type="dxa"/>
              <w:bottom w:w="75" w:type="dxa"/>
              <w:end w:w="100" w:type="dxa"/>
            </w:tcMar>
            <w:vAlign w:val="center"/>
          </w:tcPr>
          <w:p>
            <w:r>
              <w:rPr>
                <w:rFonts w:ascii="Calibri" w:hAnsi="Calibri" w:eastAsia="Microsoft YaHei"/>
                <w:b/>
                <w:color w:val="FFFFFF"/>
                <w:sz w:val="17"/>
              </w:rPr>
              <w:t>角色</w:t>
            </w:r>
          </w:p>
        </w:tc>
        <w:tc>
          <w:tcPr>
            <w:tcW w:type="dxa" w:w="2952"/>
            <w:shd w:fill="17365D"/>
            <w:tcMar>
              <w:top w:w="75" w:type="dxa"/>
              <w:start w:w="100" w:type="dxa"/>
              <w:bottom w:w="75" w:type="dxa"/>
              <w:end w:w="100" w:type="dxa"/>
            </w:tcMar>
            <w:vAlign w:val="center"/>
          </w:tcPr>
          <w:p>
            <w:r>
              <w:rPr>
                <w:rFonts w:ascii="Calibri" w:hAnsi="Calibri" w:eastAsia="Microsoft YaHei"/>
                <w:b/>
                <w:color w:val="FFFFFF"/>
                <w:sz w:val="17"/>
              </w:rPr>
              <w:t>数据范围</w:t>
            </w:r>
          </w:p>
        </w:tc>
        <w:tc>
          <w:tcPr>
            <w:tcW w:type="dxa" w:w="5256"/>
            <w:shd w:fill="17365D"/>
            <w:tcMar>
              <w:top w:w="75" w:type="dxa"/>
              <w:start w:w="100" w:type="dxa"/>
              <w:bottom w:w="75" w:type="dxa"/>
              <w:end w:w="100" w:type="dxa"/>
            </w:tcMar>
            <w:vAlign w:val="center"/>
          </w:tcPr>
          <w:p>
            <w:r>
              <w:rPr>
                <w:rFonts w:ascii="Calibri" w:hAnsi="Calibri" w:eastAsia="Microsoft YaHei"/>
                <w:b/>
                <w:color w:val="FFFFFF"/>
                <w:sz w:val="17"/>
              </w:rPr>
              <w:t>可用能力</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运营管理员</w:t>
            </w:r>
          </w:p>
        </w:tc>
        <w:tc>
          <w:tcPr>
            <w:tcW w:type="dxa" w:w="29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全部或获授权区域</w:t>
            </w:r>
          </w:p>
        </w:tc>
        <w:tc>
          <w:tcPr>
            <w:tcW w:type="dxa" w:w="52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查看全部指标、口径、下钻和导出</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区域或门店负责人</w:t>
            </w:r>
          </w:p>
        </w:tc>
        <w:tc>
          <w:tcPr>
            <w:tcW w:type="dxa" w:w="29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所属区域或门店</w:t>
            </w:r>
          </w:p>
        </w:tc>
        <w:tc>
          <w:tcPr>
            <w:tcW w:type="dxa" w:w="52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查看、下钻和导出授权范围内数据</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销售及客户运营</w:t>
            </w:r>
          </w:p>
        </w:tc>
        <w:tc>
          <w:tcPr>
            <w:tcW w:type="dxa" w:w="29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本人或团队客户</w:t>
            </w:r>
          </w:p>
        </w:tc>
        <w:tc>
          <w:tcPr>
            <w:tcW w:type="dxa" w:w="52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查看指标和脱敏客户明细</w:t>
            </w:r>
          </w:p>
        </w:tc>
      </w:tr>
      <w:tr>
        <w:trPr>
          <w:cantSplit/>
        </w:trPr>
        <w:tc>
          <w:tcPr>
            <w:tcW w:type="dxa" w:w="201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管理层</w:t>
            </w:r>
          </w:p>
        </w:tc>
        <w:tc>
          <w:tcPr>
            <w:tcW w:type="dxa" w:w="29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获授权组织</w:t>
            </w:r>
          </w:p>
        </w:tc>
        <w:tc>
          <w:tcPr>
            <w:tcW w:type="dxa" w:w="52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查看汇总、趋势和已生成报告</w:t>
            </w:r>
          </w:p>
        </w:tc>
      </w:tr>
      <w:tr>
        <w:trPr>
          <w:cantSplit/>
        </w:trPr>
        <w:tc>
          <w:tcPr>
            <w:tcW w:type="dxa" w:w="201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数据管理员</w:t>
            </w:r>
          </w:p>
        </w:tc>
        <w:tc>
          <w:tcPr>
            <w:tcW w:type="dxa" w:w="29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平台统计域</w:t>
            </w:r>
          </w:p>
        </w:tc>
        <w:tc>
          <w:tcPr>
            <w:tcW w:type="dxa" w:w="52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维护口径版本、数据质量和重算任务，不直接修改指标值</w:t>
            </w:r>
          </w:p>
        </w:tc>
      </w:tr>
    </w:tbl>
    <w:p>
      <w:pPr>
        <w:spacing w:after="0"/>
      </w:pPr>
    </w:p>
    <w:p>
      <w:pPr>
        <w:pStyle w:val="Heading2"/>
      </w:pPr>
      <w:r>
        <w:t>2.1 界面与功能对应说明</w:t>
      </w:r>
    </w:p>
    <w:p>
      <w:r>
        <w:t>本节把原型中的真实界面与功能点逐一对应。截图用于确定页面区域、入口和交互位置；字段校验、状态变化和服务端处理以本PRD后续功能规格为准。</w:t>
      </w:r>
    </w:p>
    <w:p>
      <w:pPr>
        <w:jc w:val="center"/>
      </w:pPr>
      <w:r/>
    </w:p>
    <w:p>
      <w:pPr>
        <w:pStyle w:val="Caption"/>
        <w:jc w:val="center"/>
      </w:pPr>
      <w:r>
        <w:t>图 2-1  客户分析指标与分布</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说明项</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6"/>
              </w:rPr>
              <w:t>界面辅助说明</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对应功能点</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OS-OPS-PRD-11-FP01 切换统计范围；OS-OPS-PRD-11-FP02 查看指标口径；OS-OPS-PRD-11-FP03 查看趋势明细；OS-OPS-PRD-11-FP04 下钻客户明细；OS-OPS-PRD-11-FP05 导出分析报告</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页面区域</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顶部为周期和范围筛选，中部为指标卡与图表，内容区提供异常、趋势和下钻入口。</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交互要求</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筛选变化后组件分别进入加载态；图表显示口径、截止时间和空态。点击卡片、图例或数据点时携带当前筛选下钻。</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状态与权限</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所有行级和详情动作由当前允许操作控制；无权限时隐藏入口，直接调用接口仍返回403并记录审计。</w:t>
            </w:r>
          </w:p>
        </w:tc>
      </w:tr>
    </w:tbl>
    <w:p>
      <w:pPr>
        <w:spacing w:after="0"/>
      </w:pPr>
    </w:p>
    <w:p>
      <w:pPr>
        <w:pStyle w:val="Heading1"/>
      </w:pPr>
      <w:r>
        <w:t>3 页面结构与全局筛选</w:t>
      </w:r>
    </w:p>
    <w:p>
      <w:pPr>
        <w:pStyle w:val="ListBullet"/>
      </w:pPr>
      <w:r>
        <w:t>页面顶部展示数据更新时间、统计周期、业务类型、区域和门店筛选</w:t>
      </w:r>
    </w:p>
    <w:p>
      <w:pPr>
        <w:pStyle w:val="ListBullet"/>
      </w:pPr>
      <w:r>
        <w:t>客户净增长概览展示客户总数、本期新增、本期流失、净增长和总量趋势</w:t>
      </w:r>
    </w:p>
    <w:p>
      <w:pPr>
        <w:pStyle w:val="ListBullet"/>
      </w:pPr>
      <w:r>
        <w:t>经营指标卡展示当前在租、活跃客户、续租率和流失风险</w:t>
      </w:r>
    </w:p>
    <w:p>
      <w:pPr>
        <w:pStyle w:val="ListBullet"/>
      </w:pPr>
      <w:r>
        <w:t>下方图表展示新增与留资趋势、沉默客户分层及沉默迁移</w:t>
      </w:r>
    </w:p>
    <w:p>
      <w:pPr>
        <w:pStyle w:val="ListBullet"/>
      </w:pPr>
      <w:r>
        <w:t>任一筛选变化后，各组件独立加载并显示本组件数据截止时间、指标口径版本和状态</w:t>
      </w:r>
    </w:p>
    <w:tbl>
      <w:tblPr>
        <w:tblStyle w:val="TableGrid"/>
        <w:tblW w:type="dxa" w:w="10656"/>
        <w:jc w:val="center"/>
        <w:tblLayout w:type="fixed"/>
        <w:tblLook w:firstColumn="1" w:firstRow="1" w:lastColumn="0" w:lastRow="0" w:noHBand="0" w:noVBand="1" w:val="04A0"/>
      </w:tblPr>
      <w:tblGrid>
        <w:gridCol w:w="1800"/>
        <w:gridCol w:w="3528"/>
        <w:gridCol w:w="5328"/>
      </w:tblGrid>
      <w:tr>
        <w:trPr>
          <w:tblHeader/>
        </w:trPr>
        <w:tc>
          <w:tcPr>
            <w:tcW w:type="dxa" w:w="1800"/>
            <w:shd w:fill="17365D"/>
            <w:tcMar>
              <w:top w:w="75" w:type="dxa"/>
              <w:start w:w="100" w:type="dxa"/>
              <w:bottom w:w="75" w:type="dxa"/>
              <w:end w:w="100" w:type="dxa"/>
            </w:tcMar>
            <w:vAlign w:val="center"/>
          </w:tcPr>
          <w:p>
            <w:r>
              <w:rPr>
                <w:rFonts w:ascii="Calibri" w:hAnsi="Calibri" w:eastAsia="Microsoft YaHei"/>
                <w:b/>
                <w:color w:val="FFFFFF"/>
                <w:sz w:val="15"/>
              </w:rPr>
              <w:t>筛选项</w:t>
            </w:r>
          </w:p>
        </w:tc>
        <w:tc>
          <w:tcPr>
            <w:tcW w:type="dxa" w:w="3528"/>
            <w:shd w:fill="17365D"/>
            <w:tcMar>
              <w:top w:w="75" w:type="dxa"/>
              <w:start w:w="100" w:type="dxa"/>
              <w:bottom w:w="75" w:type="dxa"/>
              <w:end w:w="100" w:type="dxa"/>
            </w:tcMar>
            <w:vAlign w:val="center"/>
          </w:tcPr>
          <w:p>
            <w:r>
              <w:rPr>
                <w:rFonts w:ascii="Calibri" w:hAnsi="Calibri" w:eastAsia="Microsoft YaHei"/>
                <w:b/>
                <w:color w:val="FFFFFF"/>
                <w:sz w:val="15"/>
              </w:rPr>
              <w:t>默认与选项</w:t>
            </w:r>
          </w:p>
        </w:tc>
        <w:tc>
          <w:tcPr>
            <w:tcW w:type="dxa" w:w="5328"/>
            <w:shd w:fill="17365D"/>
            <w:tcMar>
              <w:top w:w="75" w:type="dxa"/>
              <w:start w:w="100" w:type="dxa"/>
              <w:bottom w:w="75" w:type="dxa"/>
              <w:end w:w="100" w:type="dxa"/>
            </w:tcMar>
            <w:vAlign w:val="center"/>
          </w:tcPr>
          <w:p>
            <w:r>
              <w:rPr>
                <w:rFonts w:ascii="Calibri" w:hAnsi="Calibri" w:eastAsia="Microsoft YaHei"/>
                <w:b/>
                <w:color w:val="FFFFFF"/>
                <w:sz w:val="15"/>
              </w:rPr>
              <w:t>统计规则</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统计周期</w:t>
            </w:r>
          </w:p>
        </w:tc>
        <w:tc>
          <w:tcPr>
            <w:tcW w:type="dxa" w:w="35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默认近30天；支持近7天、近30天、近90天、本月、本季度和自定义。</w:t>
            </w:r>
          </w:p>
        </w:tc>
        <w:tc>
          <w:tcPr>
            <w:tcW w:type="dxa" w:w="53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香港时间自然日；结束日含当天；当前周期对比上一相邻等长周期。</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业务类型</w:t>
            </w:r>
          </w:p>
        </w:tc>
        <w:tc>
          <w:tcPr>
            <w:tcW w:type="dxa" w:w="35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默认全部业务；可选迷你仓、迷你箱及衍生商品。</w:t>
            </w:r>
          </w:p>
        </w:tc>
        <w:tc>
          <w:tcPr>
            <w:tcW w:type="dxa" w:w="53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只过滤具有对应有效业务关系的数据；客户总数应显示过滤后客户全集。</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区域</w:t>
            </w:r>
          </w:p>
        </w:tc>
        <w:tc>
          <w:tcPr>
            <w:tcW w:type="dxa" w:w="35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默认用户数据权限范围内全部区域。</w:t>
            </w:r>
          </w:p>
        </w:tc>
        <w:tc>
          <w:tcPr>
            <w:tcW w:type="dxa" w:w="53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区域取统计事实发生时所属门店的区域快照，历史数据不随门店改区回写。</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店铺</w:t>
            </w:r>
          </w:p>
        </w:tc>
        <w:tc>
          <w:tcPr>
            <w:tcW w:type="dxa" w:w="35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默认区域内全部门店，可多选。</w:t>
            </w:r>
          </w:p>
        </w:tc>
        <w:tc>
          <w:tcPr>
            <w:tcW w:type="dxa" w:w="53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与区域联动；无权限门店不返回选项，深链传入越权门店时返回403。</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生命周期</w:t>
            </w:r>
          </w:p>
        </w:tc>
        <w:tc>
          <w:tcPr>
            <w:tcW w:type="dxa" w:w="35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可选潜在、活跃、在租、历史等已发布字典。</w:t>
            </w:r>
          </w:p>
        </w:tc>
        <w:tc>
          <w:tcPr>
            <w:tcW w:type="dxa" w:w="53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按数据截止时间的生命周期快照过滤，并返回客户生命周期版本。</w:t>
            </w:r>
          </w:p>
        </w:tc>
      </w:tr>
      <w:tr>
        <w:trPr>
          <w:cantSplit/>
        </w:trPr>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价值分层</w:t>
            </w:r>
          </w:p>
        </w:tc>
        <w:tc>
          <w:tcPr>
            <w:tcW w:type="dxa" w:w="35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按已发布价值模型选择层级。</w:t>
            </w:r>
          </w:p>
        </w:tc>
        <w:tc>
          <w:tcPr>
            <w:tcW w:type="dxa" w:w="53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接口必须返回客户价值模型版本；模型切换后不与旧版本直接比较。</w:t>
            </w:r>
          </w:p>
        </w:tc>
      </w:tr>
      <w:tr>
        <w:trPr>
          <w:cantSplit/>
        </w:trPr>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风险等级</w:t>
            </w:r>
          </w:p>
        </w:tc>
        <w:tc>
          <w:tcPr>
            <w:tcW w:type="dxa" w:w="35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默认全部；支持低、中、高。</w:t>
            </w:r>
          </w:p>
        </w:tc>
        <w:tc>
          <w:tcPr>
            <w:tcW w:type="dxa" w:w="53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按当前客户风险模型版本过滤，风险数值和等级均用于下钻。</w:t>
            </w:r>
          </w:p>
        </w:tc>
      </w:tr>
    </w:tbl>
    <w:p>
      <w:pPr>
        <w:spacing w:after="0"/>
      </w:pPr>
    </w:p>
    <w:p>
      <w:pPr>
        <w:pStyle w:val="ListBullet"/>
      </w:pPr>
      <w:r>
        <w:t>点击重置恢复近30天、全部业务及当前数据权限范围</w:t>
      </w:r>
    </w:p>
    <w:p>
      <w:pPr>
        <w:pStyle w:val="ListBullet"/>
      </w:pPr>
      <w:r>
        <w:t>页面URL保存可公开的筛选编码，不写客户姓名、电话或证件信息</w:t>
      </w:r>
    </w:p>
    <w:p>
      <w:pPr>
        <w:pStyle w:val="ListBullet"/>
      </w:pPr>
      <w:r>
        <w:t>筛选条件在指标、图表、下钻和导出中必须完全一致</w:t>
      </w:r>
    </w:p>
    <w:p>
      <w:pPr>
        <w:pStyle w:val="ListBullet"/>
      </w:pPr>
      <w:r>
        <w:t>当前周期尚未结束时，对比周期只取相同已过时长</w:t>
      </w:r>
    </w:p>
    <w:p>
      <w:pPr>
        <w:pStyle w:val="Heading1"/>
      </w:pPr>
      <w:r>
        <w:t>4 指标统计口径</w:t>
      </w:r>
    </w:p>
    <w:tbl>
      <w:tblPr>
        <w:tblStyle w:val="TableGrid"/>
        <w:tblW w:type="dxa" w:w="10656"/>
        <w:jc w:val="center"/>
        <w:tblLayout w:type="fixed"/>
        <w:tblLook w:firstColumn="1" w:firstRow="1" w:lastColumn="0" w:lastRow="0" w:noHBand="0" w:noVBand="1" w:val="04A0"/>
      </w:tblPr>
      <w:tblGrid>
        <w:gridCol w:w="1080"/>
        <w:gridCol w:w="1944"/>
        <w:gridCol w:w="7632"/>
      </w:tblGrid>
      <w:tr>
        <w:trPr>
          <w:tblHeader/>
        </w:trPr>
        <w:tc>
          <w:tcPr>
            <w:tcW w:type="dxa" w:w="1080"/>
            <w:shd w:fill="17365D"/>
            <w:tcMar>
              <w:top w:w="75" w:type="dxa"/>
              <w:start w:w="100" w:type="dxa"/>
              <w:bottom w:w="75" w:type="dxa"/>
              <w:end w:w="100" w:type="dxa"/>
            </w:tcMar>
            <w:vAlign w:val="center"/>
          </w:tcPr>
          <w:p>
            <w:r>
              <w:rPr>
                <w:rFonts w:ascii="Calibri" w:hAnsi="Calibri" w:eastAsia="Microsoft YaHei"/>
                <w:b/>
                <w:color w:val="FFFFFF"/>
                <w:sz w:val="16"/>
              </w:rPr>
              <w:t>指标</w:t>
            </w:r>
          </w:p>
        </w:tc>
        <w:tc>
          <w:tcPr>
            <w:tcW w:type="dxa" w:w="1944"/>
            <w:shd w:fill="17365D"/>
            <w:tcMar>
              <w:top w:w="75" w:type="dxa"/>
              <w:start w:w="100" w:type="dxa"/>
              <w:bottom w:w="75" w:type="dxa"/>
              <w:end w:w="100" w:type="dxa"/>
            </w:tcMar>
            <w:vAlign w:val="center"/>
          </w:tcPr>
          <w:p>
            <w:r>
              <w:rPr>
                <w:rFonts w:ascii="Calibri" w:hAnsi="Calibri" w:eastAsia="Microsoft YaHei"/>
                <w:b/>
                <w:color w:val="FFFFFF"/>
                <w:sz w:val="16"/>
              </w:rPr>
              <w:t>名称</w:t>
            </w:r>
          </w:p>
        </w:tc>
        <w:tc>
          <w:tcPr>
            <w:tcW w:type="dxa" w:w="7632"/>
            <w:shd w:fill="17365D"/>
            <w:tcMar>
              <w:top w:w="75" w:type="dxa"/>
              <w:start w:w="100" w:type="dxa"/>
              <w:bottom w:w="75" w:type="dxa"/>
              <w:end w:w="100" w:type="dxa"/>
            </w:tcMar>
            <w:vAlign w:val="center"/>
          </w:tcPr>
          <w:p>
            <w:r>
              <w:rPr>
                <w:rFonts w:ascii="Calibri" w:hAnsi="Calibri" w:eastAsia="Microsoft YaHei"/>
                <w:b/>
                <w:color w:val="FFFFFF"/>
                <w:sz w:val="16"/>
              </w:rPr>
              <w:t>业务定义</w:t>
            </w:r>
          </w:p>
        </w:tc>
      </w:tr>
      <w:tr>
        <w:trPr>
          <w:cantSplit/>
        </w:trPr>
        <w:tc>
          <w:tcPr>
            <w:tcW w:type="dxa" w:w="10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CA01</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客户总数</w:t>
            </w:r>
          </w:p>
        </w:tc>
        <w:tc>
          <w:tcPr>
            <w:tcW w:type="dxa" w:w="76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截至数据截止时间已建立且未被物理清除的唯一客户数。合并客户只保留主客户编号。</w:t>
            </w:r>
          </w:p>
        </w:tc>
      </w:tr>
      <w:tr>
        <w:trPr>
          <w:cantSplit/>
        </w:trPr>
        <w:tc>
          <w:tcPr>
            <w:tcW w:type="dxa" w:w="10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CA02</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本期新增客户</w:t>
            </w:r>
          </w:p>
        </w:tc>
        <w:tc>
          <w:tcPr>
            <w:tcW w:type="dxa" w:w="76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统计周期内首次建立主客户档案的唯一客户数。</w:t>
            </w:r>
          </w:p>
        </w:tc>
      </w:tr>
      <w:tr>
        <w:trPr>
          <w:cantSplit/>
        </w:trPr>
        <w:tc>
          <w:tcPr>
            <w:tcW w:type="dxa" w:w="10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CA03</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本期流失客户</w:t>
            </w:r>
          </w:p>
        </w:tc>
        <w:tc>
          <w:tcPr>
            <w:tcW w:type="dxa" w:w="76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本期最后一份有效租约结束且截至数据截止时间没有其他有效租约的唯一客户数。</w:t>
            </w:r>
          </w:p>
        </w:tc>
      </w:tr>
      <w:tr>
        <w:trPr>
          <w:cantSplit/>
        </w:trPr>
        <w:tc>
          <w:tcPr>
            <w:tcW w:type="dxa" w:w="10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CA04</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本期净增长</w:t>
            </w:r>
          </w:p>
        </w:tc>
        <w:tc>
          <w:tcPr>
            <w:tcW w:type="dxa" w:w="76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本期新增客户数减本期流失客户数。</w:t>
            </w:r>
          </w:p>
        </w:tc>
      </w:tr>
      <w:tr>
        <w:trPr>
          <w:cantSplit/>
        </w:trPr>
        <w:tc>
          <w:tcPr>
            <w:tcW w:type="dxa" w:w="10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CA05</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当前在租客户</w:t>
            </w:r>
          </w:p>
        </w:tc>
        <w:tc>
          <w:tcPr>
            <w:tcW w:type="dxa" w:w="76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截至数据截止时间至少有一份处于有效租用状态的仓位或迷你箱租约的唯一客户数。</w:t>
            </w:r>
          </w:p>
        </w:tc>
      </w:tr>
      <w:tr>
        <w:trPr>
          <w:cantSplit/>
        </w:trPr>
        <w:tc>
          <w:tcPr>
            <w:tcW w:type="dxa" w:w="10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CA06</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活跃客户</w:t>
            </w:r>
          </w:p>
        </w:tc>
        <w:tc>
          <w:tcPr>
            <w:tcW w:type="dxa" w:w="76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所选观察窗口内至少发生一次有效客户主动行为的唯一客户数。</w:t>
            </w:r>
          </w:p>
        </w:tc>
      </w:tr>
      <w:tr>
        <w:trPr>
          <w:cantSplit/>
        </w:trPr>
        <w:tc>
          <w:tcPr>
            <w:tcW w:type="dxa" w:w="10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CA07</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续租率</w:t>
            </w:r>
          </w:p>
        </w:tc>
        <w:tc>
          <w:tcPr>
            <w:tcW w:type="dxa" w:w="76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到期应续租租约中已完成续租的租约比例。该指标按租约统计，不按客户统计。</w:t>
            </w:r>
          </w:p>
        </w:tc>
      </w:tr>
      <w:tr>
        <w:trPr>
          <w:cantSplit/>
        </w:trPr>
        <w:tc>
          <w:tcPr>
            <w:tcW w:type="dxa" w:w="10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CA08</w:t>
            </w:r>
          </w:p>
        </w:tc>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流失风险客户</w:t>
            </w:r>
          </w:p>
        </w:tc>
        <w:tc>
          <w:tcPr>
            <w:tcW w:type="dxa" w:w="76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截至数据截止时间被当前风险模型判为中高风险且仍属有效客户的唯一客户数。</w:t>
            </w:r>
          </w:p>
        </w:tc>
      </w:tr>
      <w:tr>
        <w:trPr>
          <w:cantSplit/>
        </w:trPr>
        <w:tc>
          <w:tcPr>
            <w:tcW w:type="dxa" w:w="10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CA09</w:t>
            </w:r>
          </w:p>
        </w:tc>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沉默客户</w:t>
            </w:r>
          </w:p>
        </w:tc>
        <w:tc>
          <w:tcPr>
            <w:tcW w:type="dxa" w:w="76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最后一次有效互动距数据截止时间达到沉默阈值的唯一客户数。</w:t>
            </w:r>
          </w:p>
        </w:tc>
      </w:tr>
    </w:tbl>
    <w:p>
      <w:pPr>
        <w:spacing w:after="0"/>
      </w:pPr>
    </w:p>
    <w:p>
      <w:pPr>
        <w:pStyle w:val="Heading2"/>
      </w:pPr>
      <w:r>
        <w:t>4.1 计算公式与时间口径</w:t>
      </w:r>
    </w:p>
    <w:tbl>
      <w:tblPr>
        <w:tblStyle w:val="TableGrid"/>
        <w:tblW w:type="dxa" w:w="10656"/>
        <w:jc w:val="center"/>
        <w:tblLayout w:type="fixed"/>
        <w:tblLook w:firstColumn="1" w:firstRow="1" w:lastColumn="0" w:lastRow="0" w:noHBand="0" w:noVBand="1" w:val="04A0"/>
      </w:tblPr>
      <w:tblGrid>
        <w:gridCol w:w="1080"/>
        <w:gridCol w:w="5256"/>
        <w:gridCol w:w="4320"/>
      </w:tblGrid>
      <w:tr>
        <w:trPr>
          <w:tblHeader/>
        </w:trPr>
        <w:tc>
          <w:tcPr>
            <w:tcW w:type="dxa" w:w="1080"/>
            <w:shd w:fill="17365D"/>
            <w:tcMar>
              <w:top w:w="75" w:type="dxa"/>
              <w:start w:w="100" w:type="dxa"/>
              <w:bottom w:w="75" w:type="dxa"/>
              <w:end w:w="100" w:type="dxa"/>
            </w:tcMar>
            <w:vAlign w:val="center"/>
          </w:tcPr>
          <w:p>
            <w:r>
              <w:rPr>
                <w:rFonts w:ascii="Calibri" w:hAnsi="Calibri" w:eastAsia="Microsoft YaHei"/>
                <w:b/>
                <w:color w:val="FFFFFF"/>
                <w:sz w:val="16"/>
              </w:rPr>
              <w:t>指标</w:t>
            </w:r>
          </w:p>
        </w:tc>
        <w:tc>
          <w:tcPr>
            <w:tcW w:type="dxa" w:w="5256"/>
            <w:shd w:fill="17365D"/>
            <w:tcMar>
              <w:top w:w="75" w:type="dxa"/>
              <w:start w:w="100" w:type="dxa"/>
              <w:bottom w:w="75" w:type="dxa"/>
              <w:end w:w="100" w:type="dxa"/>
            </w:tcMar>
            <w:vAlign w:val="center"/>
          </w:tcPr>
          <w:p>
            <w:r>
              <w:rPr>
                <w:rFonts w:ascii="Calibri" w:hAnsi="Calibri" w:eastAsia="Microsoft YaHei"/>
                <w:b/>
                <w:color w:val="FFFFFF"/>
                <w:sz w:val="16"/>
              </w:rPr>
              <w:t>计算公式</w:t>
            </w:r>
          </w:p>
        </w:tc>
        <w:tc>
          <w:tcPr>
            <w:tcW w:type="dxa" w:w="4320"/>
            <w:shd w:fill="17365D"/>
            <w:tcMar>
              <w:top w:w="75" w:type="dxa"/>
              <w:start w:w="100" w:type="dxa"/>
              <w:bottom w:w="75" w:type="dxa"/>
              <w:end w:w="100" w:type="dxa"/>
            </w:tcMar>
            <w:vAlign w:val="center"/>
          </w:tcPr>
          <w:p>
            <w:r>
              <w:rPr>
                <w:rFonts w:ascii="Calibri" w:hAnsi="Calibri" w:eastAsia="Microsoft YaHei"/>
                <w:b/>
                <w:color w:val="FFFFFF"/>
                <w:sz w:val="16"/>
              </w:rPr>
              <w:t>时间口径</w:t>
            </w:r>
          </w:p>
        </w:tc>
      </w:tr>
      <w:tr>
        <w:trPr>
          <w:cantSplit/>
        </w:trPr>
        <w:tc>
          <w:tcPr>
            <w:tcW w:type="dxa" w:w="10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CA01</w:t>
            </w:r>
          </w:p>
        </w:tc>
        <w:tc>
          <w:tcPr>
            <w:tcW w:type="dxa" w:w="52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计数 去重 客户编号</w:t>
            </w:r>
          </w:p>
        </w:tc>
        <w:tc>
          <w:tcPr>
            <w:tcW w:type="dxa" w:w="432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库存指标，取数据截止时间快照</w:t>
            </w:r>
          </w:p>
        </w:tc>
      </w:tr>
      <w:tr>
        <w:trPr>
          <w:cantSplit/>
        </w:trPr>
        <w:tc>
          <w:tcPr>
            <w:tcW w:type="dxa" w:w="10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CA02</w:t>
            </w:r>
          </w:p>
        </w:tc>
        <w:tc>
          <w:tcPr>
            <w:tcW w:type="dxa" w:w="52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计数 去重 客户编号 WHERE 首次创建时间 in period</w:t>
            </w:r>
          </w:p>
        </w:tc>
        <w:tc>
          <w:tcPr>
            <w:tcW w:type="dxa" w:w="432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按客户首次创建业务时间</w:t>
            </w:r>
          </w:p>
        </w:tc>
      </w:tr>
      <w:tr>
        <w:trPr>
          <w:cantSplit/>
        </w:trPr>
        <w:tc>
          <w:tcPr>
            <w:tcW w:type="dxa" w:w="10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CA03</w:t>
            </w:r>
          </w:p>
        </w:tc>
        <w:tc>
          <w:tcPr>
            <w:tcW w:type="dxa" w:w="52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计数 去重 客户编号 meeting churn condition</w:t>
            </w:r>
          </w:p>
        </w:tc>
        <w:tc>
          <w:tcPr>
            <w:tcW w:type="dxa" w:w="432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按最后有效租约实际结束时间</w:t>
            </w:r>
          </w:p>
        </w:tc>
      </w:tr>
      <w:tr>
        <w:trPr>
          <w:cantSplit/>
        </w:trPr>
        <w:tc>
          <w:tcPr>
            <w:tcW w:type="dxa" w:w="10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CA04</w:t>
            </w:r>
          </w:p>
        </w:tc>
        <w:tc>
          <w:tcPr>
            <w:tcW w:type="dxa" w:w="52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CA02 - CA03</w:t>
            </w:r>
          </w:p>
        </w:tc>
        <w:tc>
          <w:tcPr>
            <w:tcW w:type="dxa" w:w="432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沿用CA02和CA03周期</w:t>
            </w:r>
          </w:p>
        </w:tc>
      </w:tr>
      <w:tr>
        <w:trPr>
          <w:cantSplit/>
        </w:trPr>
        <w:tc>
          <w:tcPr>
            <w:tcW w:type="dxa" w:w="10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CA05</w:t>
            </w:r>
          </w:p>
        </w:tc>
        <w:tc>
          <w:tcPr>
            <w:tcW w:type="dxa" w:w="52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计数 去重 客户编号 with active rental</w:t>
            </w:r>
          </w:p>
        </w:tc>
        <w:tc>
          <w:tcPr>
            <w:tcW w:type="dxa" w:w="432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库存指标，取数据截止时间快照</w:t>
            </w:r>
          </w:p>
        </w:tc>
      </w:tr>
      <w:tr>
        <w:trPr>
          <w:cantSplit/>
        </w:trPr>
        <w:tc>
          <w:tcPr>
            <w:tcW w:type="dxa" w:w="10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CA06</w:t>
            </w:r>
          </w:p>
        </w:tc>
        <w:tc>
          <w:tcPr>
            <w:tcW w:type="dxa" w:w="52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计数 去重 客户编号 with qualified activity</w:t>
            </w:r>
          </w:p>
        </w:tc>
        <w:tc>
          <w:tcPr>
            <w:tcW w:type="dxa" w:w="432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按事件发生时间落入窗口</w:t>
            </w:r>
          </w:p>
        </w:tc>
      </w:tr>
      <w:tr>
        <w:trPr>
          <w:cantSplit/>
        </w:trPr>
        <w:tc>
          <w:tcPr>
            <w:tcW w:type="dxa" w:w="10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CA07</w:t>
            </w:r>
          </w:p>
        </w:tc>
        <w:tc>
          <w:tcPr>
            <w:tcW w:type="dxa" w:w="52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已完成续租租约数 ÷ 到期应续租租约数 × 100%</w:t>
            </w:r>
          </w:p>
        </w:tc>
        <w:tc>
          <w:tcPr>
            <w:tcW w:type="dxa" w:w="432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分母按原租约到期日，分子按续租完成状态</w:t>
            </w:r>
          </w:p>
        </w:tc>
      </w:tr>
      <w:tr>
        <w:trPr>
          <w:cantSplit/>
        </w:trPr>
        <w:tc>
          <w:tcPr>
            <w:tcW w:type="dxa" w:w="10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CA08</w:t>
            </w:r>
          </w:p>
        </w:tc>
        <w:tc>
          <w:tcPr>
            <w:tcW w:type="dxa" w:w="52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计数 去重 客户编号 WHERE 风险等级 in configured levels</w:t>
            </w:r>
          </w:p>
        </w:tc>
        <w:tc>
          <w:tcPr>
            <w:tcW w:type="dxa" w:w="432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每日快照，显示模型版本</w:t>
            </w:r>
          </w:p>
        </w:tc>
      </w:tr>
      <w:tr>
        <w:trPr>
          <w:cantSplit/>
        </w:trPr>
        <w:tc>
          <w:tcPr>
            <w:tcW w:type="dxa" w:w="10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CA09</w:t>
            </w:r>
          </w:p>
        </w:tc>
        <w:tc>
          <w:tcPr>
            <w:tcW w:type="dxa" w:w="52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计数 去重 客户编号 WHERE 未互动天数 &gt;= threshold</w:t>
            </w:r>
          </w:p>
        </w:tc>
        <w:tc>
          <w:tcPr>
            <w:tcW w:type="dxa" w:w="432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按最后有效互动时间和数据截止时间计算自然日</w:t>
            </w:r>
          </w:p>
        </w:tc>
      </w:tr>
    </w:tbl>
    <w:p>
      <w:pPr>
        <w:spacing w:after="0"/>
      </w:pPr>
    </w:p>
    <w:p>
      <w:pPr>
        <w:pStyle w:val="Heading2"/>
      </w:pPr>
      <w:r>
        <w:t>4.2 排除规则与下钻</w:t>
      </w:r>
    </w:p>
    <w:tbl>
      <w:tblPr>
        <w:tblStyle w:val="TableGrid"/>
        <w:tblW w:type="dxa" w:w="10656"/>
        <w:jc w:val="center"/>
        <w:tblLayout w:type="fixed"/>
        <w:tblLook w:firstColumn="1" w:firstRow="1" w:lastColumn="0" w:lastRow="0" w:noHBand="0" w:noVBand="1" w:val="04A0"/>
      </w:tblPr>
      <w:tblGrid>
        <w:gridCol w:w="1080"/>
        <w:gridCol w:w="5832"/>
        <w:gridCol w:w="3744"/>
      </w:tblGrid>
      <w:tr>
        <w:trPr>
          <w:tblHeader/>
        </w:trPr>
        <w:tc>
          <w:tcPr>
            <w:tcW w:type="dxa" w:w="1080"/>
            <w:shd w:fill="17365D"/>
            <w:tcMar>
              <w:top w:w="75" w:type="dxa"/>
              <w:start w:w="100" w:type="dxa"/>
              <w:bottom w:w="75" w:type="dxa"/>
              <w:end w:w="100" w:type="dxa"/>
            </w:tcMar>
            <w:vAlign w:val="center"/>
          </w:tcPr>
          <w:p>
            <w:r>
              <w:rPr>
                <w:rFonts w:ascii="Calibri" w:hAnsi="Calibri" w:eastAsia="Microsoft YaHei"/>
                <w:b/>
                <w:color w:val="FFFFFF"/>
                <w:sz w:val="16"/>
              </w:rPr>
              <w:t>指标</w:t>
            </w:r>
          </w:p>
        </w:tc>
        <w:tc>
          <w:tcPr>
            <w:tcW w:type="dxa" w:w="5832"/>
            <w:shd w:fill="17365D"/>
            <w:tcMar>
              <w:top w:w="75" w:type="dxa"/>
              <w:start w:w="100" w:type="dxa"/>
              <w:bottom w:w="75" w:type="dxa"/>
              <w:end w:w="100" w:type="dxa"/>
            </w:tcMar>
            <w:vAlign w:val="center"/>
          </w:tcPr>
          <w:p>
            <w:r>
              <w:rPr>
                <w:rFonts w:ascii="Calibri" w:hAnsi="Calibri" w:eastAsia="Microsoft YaHei"/>
                <w:b/>
                <w:color w:val="FFFFFF"/>
                <w:sz w:val="16"/>
              </w:rPr>
              <w:t>排除与去重规则</w:t>
            </w:r>
          </w:p>
        </w:tc>
        <w:tc>
          <w:tcPr>
            <w:tcW w:type="dxa" w:w="3744"/>
            <w:shd w:fill="17365D"/>
            <w:tcMar>
              <w:top w:w="75" w:type="dxa"/>
              <w:start w:w="100" w:type="dxa"/>
              <w:bottom w:w="75" w:type="dxa"/>
              <w:end w:w="100" w:type="dxa"/>
            </w:tcMar>
            <w:vAlign w:val="center"/>
          </w:tcPr>
          <w:p>
            <w:r>
              <w:rPr>
                <w:rFonts w:ascii="Calibri" w:hAnsi="Calibri" w:eastAsia="Microsoft YaHei"/>
                <w:b/>
                <w:color w:val="FFFFFF"/>
                <w:sz w:val="16"/>
              </w:rPr>
              <w:t>下钻结果</w:t>
            </w:r>
          </w:p>
        </w:tc>
      </w:tr>
      <w:tr>
        <w:trPr>
          <w:cantSplit/>
        </w:trPr>
        <w:tc>
          <w:tcPr>
            <w:tcW w:type="dxa" w:w="10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CA01</w:t>
            </w:r>
          </w:p>
        </w:tc>
        <w:tc>
          <w:tcPr>
            <w:tcW w:type="dxa" w:w="58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排除测试、重复从档和已合并从档</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客户档案列表</w:t>
            </w:r>
          </w:p>
        </w:tc>
      </w:tr>
      <w:tr>
        <w:trPr>
          <w:cantSplit/>
        </w:trPr>
        <w:tc>
          <w:tcPr>
            <w:tcW w:type="dxa" w:w="10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CA02</w:t>
            </w:r>
          </w:p>
        </w:tc>
        <w:tc>
          <w:tcPr>
            <w:tcW w:type="dxa" w:w="58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排除导入回滚、测试及合并后重复客户</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按首次创建时间下钻</w:t>
            </w:r>
          </w:p>
        </w:tc>
      </w:tr>
      <w:tr>
        <w:trPr>
          <w:cantSplit/>
        </w:trPr>
        <w:tc>
          <w:tcPr>
            <w:tcW w:type="dxa" w:w="10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CA03</w:t>
            </w:r>
          </w:p>
        </w:tc>
        <w:tc>
          <w:tcPr>
            <w:tcW w:type="dxa" w:w="58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转仓、续租衔接及仅取消预约不计流失</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按流失日期和原租约下钻</w:t>
            </w:r>
          </w:p>
        </w:tc>
      </w:tr>
      <w:tr>
        <w:trPr>
          <w:cantSplit/>
        </w:trPr>
        <w:tc>
          <w:tcPr>
            <w:tcW w:type="dxa" w:w="10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CA04</w:t>
            </w:r>
          </w:p>
        </w:tc>
        <w:tc>
          <w:tcPr>
            <w:tcW w:type="dxa" w:w="58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允许为负数，不另行去重</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分别打开新增和流失清单</w:t>
            </w:r>
          </w:p>
        </w:tc>
      </w:tr>
      <w:tr>
        <w:trPr>
          <w:cantSplit/>
        </w:trPr>
        <w:tc>
          <w:tcPr>
            <w:tcW w:type="dxa" w:w="10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CA05</w:t>
            </w:r>
          </w:p>
        </w:tc>
        <w:tc>
          <w:tcPr>
            <w:tcW w:type="dxa" w:w="58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取消、草稿、退款关闭、测试租约不计；同客多租约只计一人</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在租客户及有效租约</w:t>
            </w:r>
          </w:p>
        </w:tc>
      </w:tr>
      <w:tr>
        <w:trPr>
          <w:cantSplit/>
        </w:trPr>
        <w:tc>
          <w:tcPr>
            <w:tcW w:type="dxa" w:w="10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CA06</w:t>
            </w:r>
          </w:p>
        </w:tc>
        <w:tc>
          <w:tcPr>
            <w:tcW w:type="dxa" w:w="58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排除系统通知、群发送达、机器人自动消息和内部操作</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客户及最近有效行为</w:t>
            </w:r>
          </w:p>
        </w:tc>
      </w:tr>
      <w:tr>
        <w:trPr>
          <w:cantSplit/>
        </w:trPr>
        <w:tc>
          <w:tcPr>
            <w:tcW w:type="dxa" w:w="10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CA07</w:t>
            </w:r>
          </w:p>
        </w:tc>
        <w:tc>
          <w:tcPr>
            <w:tcW w:type="dxa" w:w="58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转仓关闭、提前退租、测试及审批豁免租约排除</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应续租租约与续租结果</w:t>
            </w:r>
          </w:p>
        </w:tc>
      </w:tr>
      <w:tr>
        <w:trPr>
          <w:cantSplit/>
        </w:trPr>
        <w:tc>
          <w:tcPr>
            <w:tcW w:type="dxa" w:w="10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CA08</w:t>
            </w:r>
          </w:p>
        </w:tc>
        <w:tc>
          <w:tcPr>
            <w:tcW w:type="dxa" w:w="583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已流失、冻结测试和无有效业务关系客户排除</w:t>
            </w:r>
          </w:p>
        </w:tc>
        <w:tc>
          <w:tcPr>
            <w:tcW w:type="dxa" w:w="37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风险等级、原因因子和负责人</w:t>
            </w:r>
          </w:p>
        </w:tc>
      </w:tr>
      <w:tr>
        <w:trPr>
          <w:cantSplit/>
        </w:trPr>
        <w:tc>
          <w:tcPr>
            <w:tcW w:type="dxa" w:w="10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CA09</w:t>
            </w:r>
          </w:p>
        </w:tc>
        <w:tc>
          <w:tcPr>
            <w:tcW w:type="dxa" w:w="583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无可用联系方式、退订、黑名单及人工接待保护期客户按配置排除</w:t>
            </w:r>
          </w:p>
        </w:tc>
        <w:tc>
          <w:tcPr>
            <w:tcW w:type="dxa" w:w="37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沉默层级及最后有效互动</w:t>
            </w:r>
          </w:p>
        </w:tc>
      </w:tr>
    </w:tbl>
    <w:p>
      <w:pPr>
        <w:spacing w:after="0"/>
      </w:pPr>
    </w:p>
    <w:p>
      <w:pPr>
        <w:pStyle w:val="ListBullet"/>
      </w:pPr>
      <w:r>
        <w:t>比例指标接口必须同时返回分子和分母；前端不得只接收百分比</w:t>
      </w:r>
    </w:p>
    <w:p>
      <w:pPr>
        <w:pStyle w:val="ListBullet"/>
      </w:pPr>
      <w:r>
        <w:t>客户总量和当前在租属于时点库存，新增、流失和续租属于周期流量</w:t>
      </w:r>
    </w:p>
    <w:p>
      <w:pPr>
        <w:pStyle w:val="ListBullet"/>
      </w:pPr>
      <w:r>
        <w:t>跨区域、跨门店汇总从客户或租约明细重新去重计算，禁止对门店比例取平均</w:t>
      </w:r>
    </w:p>
    <w:p>
      <w:pPr>
        <w:pStyle w:val="ListBullet"/>
      </w:pPr>
      <w:r>
        <w:t>分母为零显示—并返回统计分母为零；合法零值显示0</w:t>
      </w:r>
    </w:p>
    <w:p>
      <w:pPr>
        <w:pStyle w:val="ListBullet"/>
      </w:pPr>
      <w:r>
        <w:t>金额、人数和比例变化分别使用原币、人数和百分点，不混用百分比增长</w:t>
      </w:r>
    </w:p>
    <w:p>
      <w:pPr>
        <w:pStyle w:val="Heading1"/>
      </w:pPr>
      <w:r>
        <w:t>5 图表统计与交互</w:t>
      </w:r>
    </w:p>
    <w:tbl>
      <w:tblPr>
        <w:tblStyle w:val="TableGrid"/>
        <w:tblW w:type="dxa" w:w="11088"/>
        <w:jc w:val="center"/>
        <w:tblLayout w:type="fixed"/>
        <w:tblLook w:firstColumn="1" w:firstRow="1" w:lastColumn="0" w:lastRow="0" w:noHBand="0" w:noVBand="1" w:val="04A0"/>
      </w:tblPr>
      <w:tblGrid>
        <w:gridCol w:w="1008"/>
        <w:gridCol w:w="1800"/>
        <w:gridCol w:w="2448"/>
        <w:gridCol w:w="2592"/>
        <w:gridCol w:w="3240"/>
      </w:tblGrid>
      <w:tr>
        <w:trPr>
          <w:tblHeader/>
        </w:trPr>
        <w:tc>
          <w:tcPr>
            <w:tcW w:type="dxa" w:w="1008"/>
            <w:shd w:fill="17365D"/>
            <w:tcMar>
              <w:top w:w="75" w:type="dxa"/>
              <w:start w:w="100" w:type="dxa"/>
              <w:bottom w:w="75" w:type="dxa"/>
              <w:end w:w="100" w:type="dxa"/>
            </w:tcMar>
            <w:vAlign w:val="center"/>
          </w:tcPr>
          <w:p>
            <w:r>
              <w:rPr>
                <w:rFonts w:ascii="Calibri" w:hAnsi="Calibri" w:eastAsia="Microsoft YaHei"/>
                <w:b/>
                <w:color w:val="FFFFFF"/>
                <w:sz w:val="14"/>
              </w:rPr>
              <w:t>图表</w:t>
            </w:r>
          </w:p>
        </w:tc>
        <w:tc>
          <w:tcPr>
            <w:tcW w:type="dxa" w:w="1800"/>
            <w:shd w:fill="17365D"/>
            <w:tcMar>
              <w:top w:w="75" w:type="dxa"/>
              <w:start w:w="100" w:type="dxa"/>
              <w:bottom w:w="75" w:type="dxa"/>
              <w:end w:w="100" w:type="dxa"/>
            </w:tcMar>
            <w:vAlign w:val="center"/>
          </w:tcPr>
          <w:p>
            <w:r>
              <w:rPr>
                <w:rFonts w:ascii="Calibri" w:hAnsi="Calibri" w:eastAsia="Microsoft YaHei"/>
                <w:b/>
                <w:color w:val="FFFFFF"/>
                <w:sz w:val="14"/>
              </w:rPr>
              <w:t>名称</w:t>
            </w:r>
          </w:p>
        </w:tc>
        <w:tc>
          <w:tcPr>
            <w:tcW w:type="dxa" w:w="2448"/>
            <w:shd w:fill="17365D"/>
            <w:tcMar>
              <w:top w:w="75" w:type="dxa"/>
              <w:start w:w="100" w:type="dxa"/>
              <w:bottom w:w="75" w:type="dxa"/>
              <w:end w:w="100" w:type="dxa"/>
            </w:tcMar>
            <w:vAlign w:val="center"/>
          </w:tcPr>
          <w:p>
            <w:r>
              <w:rPr>
                <w:rFonts w:ascii="Calibri" w:hAnsi="Calibri" w:eastAsia="Microsoft YaHei"/>
                <w:b/>
                <w:color w:val="FFFFFF"/>
                <w:sz w:val="14"/>
              </w:rPr>
              <w:t>展示内容</w:t>
            </w:r>
          </w:p>
        </w:tc>
        <w:tc>
          <w:tcPr>
            <w:tcW w:type="dxa" w:w="2592"/>
            <w:shd w:fill="17365D"/>
            <w:tcMar>
              <w:top w:w="75" w:type="dxa"/>
              <w:start w:w="100" w:type="dxa"/>
              <w:bottom w:w="75" w:type="dxa"/>
              <w:end w:w="100" w:type="dxa"/>
            </w:tcMar>
            <w:vAlign w:val="center"/>
          </w:tcPr>
          <w:p>
            <w:r>
              <w:rPr>
                <w:rFonts w:ascii="Calibri" w:hAnsi="Calibri" w:eastAsia="Microsoft YaHei"/>
                <w:b/>
                <w:color w:val="FFFFFF"/>
                <w:sz w:val="14"/>
              </w:rPr>
              <w:t>数据口径</w:t>
            </w:r>
          </w:p>
        </w:tc>
        <w:tc>
          <w:tcPr>
            <w:tcW w:type="dxa" w:w="3240"/>
            <w:shd w:fill="17365D"/>
            <w:tcMar>
              <w:top w:w="75" w:type="dxa"/>
              <w:start w:w="100" w:type="dxa"/>
              <w:bottom w:w="75" w:type="dxa"/>
              <w:end w:w="100" w:type="dxa"/>
            </w:tcMar>
            <w:vAlign w:val="center"/>
          </w:tcPr>
          <w:p>
            <w:r>
              <w:rPr>
                <w:rFonts w:ascii="Calibri" w:hAnsi="Calibri" w:eastAsia="Microsoft YaHei"/>
                <w:b/>
                <w:color w:val="FFFFFF"/>
                <w:sz w:val="14"/>
              </w:rPr>
              <w:t>交互与对账</w:t>
            </w:r>
          </w:p>
        </w:tc>
      </w:tr>
      <w:tr>
        <w:trPr>
          <w:cantSplit/>
        </w:trPr>
        <w:tc>
          <w:tcPr>
            <w:tcW w:type="dxa" w:w="10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CH01</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客户净增长概览</w:t>
            </w:r>
          </w:p>
        </w:tc>
        <w:tc>
          <w:tcPr>
            <w:tcW w:type="dxa" w:w="244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客户总数、本期新增、本期流失和净增长</w:t>
            </w:r>
          </w:p>
        </w:tc>
        <w:tc>
          <w:tcPr>
            <w:tcW w:type="dxa" w:w="25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CA01至CA04</w:t>
            </w:r>
          </w:p>
        </w:tc>
        <w:tc>
          <w:tcPr>
            <w:tcW w:type="dxa" w:w="32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折线展示周期末客户总量；卡片变化使用上一可比周期。</w:t>
            </w:r>
          </w:p>
        </w:tc>
      </w:tr>
      <w:tr>
        <w:trPr>
          <w:cantSplit/>
        </w:trPr>
        <w:tc>
          <w:tcPr>
            <w:tcW w:type="dxa" w:w="10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CH02</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经营客户指标卡</w:t>
            </w:r>
          </w:p>
        </w:tc>
        <w:tc>
          <w:tcPr>
            <w:tcW w:type="dxa" w:w="244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当前在租、活跃客户、续租率、流失风险</w:t>
            </w:r>
          </w:p>
        </w:tc>
        <w:tc>
          <w:tcPr>
            <w:tcW w:type="dxa" w:w="25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CA05至CA08</w:t>
            </w:r>
          </w:p>
        </w:tc>
        <w:tc>
          <w:tcPr>
            <w:tcW w:type="dxa" w:w="32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人数显示整数，比例最多两位小数；续租率变化使用百分点pp。</w:t>
            </w:r>
          </w:p>
        </w:tc>
      </w:tr>
      <w:tr>
        <w:trPr>
          <w:cantSplit/>
        </w:trPr>
        <w:tc>
          <w:tcPr>
            <w:tcW w:type="dxa" w:w="10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CH03</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新增客户与留资趋势</w:t>
            </w:r>
          </w:p>
        </w:tc>
        <w:tc>
          <w:tcPr>
            <w:tcW w:type="dxa" w:w="244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按日、周或月展示新增客户数与留资客户数</w:t>
            </w:r>
          </w:p>
        </w:tc>
        <w:tc>
          <w:tcPr>
            <w:tcW w:type="dxa" w:w="25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新增客户复用CA02；留资客户按标准化手机号、邮箱或客户编号去重</w:t>
            </w:r>
          </w:p>
        </w:tc>
        <w:tc>
          <w:tcPr>
            <w:tcW w:type="dxa" w:w="32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数据点悬停显示日期、两项原始值和截止时间；切换粒度后重新聚合原始事实。</w:t>
            </w:r>
          </w:p>
        </w:tc>
      </w:tr>
      <w:tr>
        <w:trPr>
          <w:cantSplit/>
        </w:trPr>
        <w:tc>
          <w:tcPr>
            <w:tcW w:type="dxa" w:w="10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CH04</w:t>
            </w:r>
          </w:p>
        </w:tc>
        <w:tc>
          <w:tcPr>
            <w:tcW w:type="dxa" w:w="180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沉默客户分层</w:t>
            </w:r>
          </w:p>
        </w:tc>
        <w:tc>
          <w:tcPr>
            <w:tcW w:type="dxa" w:w="244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轻度30至60天、中度61至90天、重度91天及以上</w:t>
            </w:r>
          </w:p>
        </w:tc>
        <w:tc>
          <w:tcPr>
            <w:tcW w:type="dxa" w:w="259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各层人数 ÷ 沉默客户总数</w:t>
            </w:r>
          </w:p>
        </w:tc>
        <w:tc>
          <w:tcPr>
            <w:tcW w:type="dxa" w:w="324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区间左闭右闭且互斥；层级合计必须等于CA09，阈值和版本可查看。</w:t>
            </w:r>
          </w:p>
        </w:tc>
      </w:tr>
      <w:tr>
        <w:trPr>
          <w:cantSplit/>
        </w:trPr>
        <w:tc>
          <w:tcPr>
            <w:tcW w:type="dxa" w:w="10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CH05</w:t>
            </w:r>
          </w:p>
        </w:tc>
        <w:tc>
          <w:tcPr>
            <w:tcW w:type="dxa" w:w="180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沉默客户流动</w:t>
            </w:r>
          </w:p>
        </w:tc>
        <w:tc>
          <w:tcPr>
            <w:tcW w:type="dxa" w:w="244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新进入沉默、成功唤醒、沉默加深</w:t>
            </w:r>
          </w:p>
        </w:tc>
        <w:tc>
          <w:tcPr>
            <w:tcW w:type="dxa" w:w="259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按客户在本期首尾快照的层级迁移统计</w:t>
            </w:r>
          </w:p>
        </w:tc>
        <w:tc>
          <w:tcPr>
            <w:tcW w:type="dxa" w:w="324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同一客户每种迁移在一个周期只计一次；成功唤醒后再次沉默属于下一次迁移。</w:t>
            </w:r>
          </w:p>
        </w:tc>
      </w:tr>
    </w:tbl>
    <w:p>
      <w:pPr>
        <w:spacing w:after="0"/>
      </w:pPr>
    </w:p>
    <w:p>
      <w:pPr>
        <w:pStyle w:val="ListBullet"/>
      </w:pPr>
      <w:r>
        <w:t>折线或柱状图缺失日期补零，但数据源失败的日期显示断点并标记失败</w:t>
      </w:r>
    </w:p>
    <w:p>
      <w:pPr>
        <w:pStyle w:val="ListBullet"/>
      </w:pPr>
      <w:r>
        <w:t>图例开关只改变显示，不改变总计和导出；隐藏全部序列时保留坐标轴与空态提示</w:t>
      </w:r>
    </w:p>
    <w:p>
      <w:pPr>
        <w:pStyle w:val="ListBullet"/>
      </w:pPr>
      <w:r>
        <w:t>悬停展示时间粒度、原始值、分子分母和截止时间；点击数据点按同一粒度下钻</w:t>
      </w:r>
    </w:p>
    <w:p>
      <w:pPr>
        <w:pStyle w:val="ListBullet"/>
      </w:pPr>
      <w:r>
        <w:t>沉默分层区间必须互斥，人数合计等于沉默客户总数</w:t>
      </w:r>
    </w:p>
    <w:p>
      <w:pPr>
        <w:pStyle w:val="ListBullet"/>
      </w:pPr>
      <w:r>
        <w:t>原型演示数字如无法用同页分子分母复算，研发不得照录，应以接口和明细对账结果为准</w:t>
      </w:r>
    </w:p>
    <w:p>
      <w:pPr>
        <w:pStyle w:val="Heading1"/>
      </w:pPr>
      <w:r>
        <w:t>6 功能点详细设计</w:t>
      </w:r>
    </w:p>
    <w:tbl>
      <w:tblPr>
        <w:tblStyle w:val="TableGrid"/>
        <w:tblW w:type="dxa" w:w="11520"/>
        <w:jc w:val="center"/>
        <w:tblLayout w:type="fixed"/>
        <w:tblLook w:firstColumn="1" w:firstRow="1" w:lastColumn="0" w:lastRow="0" w:noHBand="0" w:noVBand="1" w:val="04A0"/>
      </w:tblPr>
      <w:tblGrid>
        <w:gridCol w:w="1008"/>
        <w:gridCol w:w="1656"/>
        <w:gridCol w:w="2736"/>
        <w:gridCol w:w="3384"/>
        <w:gridCol w:w="2736"/>
      </w:tblGrid>
      <w:tr>
        <w:trPr>
          <w:tblHeader/>
        </w:trPr>
        <w:tc>
          <w:tcPr>
            <w:tcW w:type="dxa" w:w="1008"/>
            <w:shd w:fill="17365D"/>
            <w:tcMar>
              <w:top w:w="75" w:type="dxa"/>
              <w:start w:w="100" w:type="dxa"/>
              <w:bottom w:w="75" w:type="dxa"/>
              <w:end w:w="100" w:type="dxa"/>
            </w:tcMar>
            <w:vAlign w:val="center"/>
          </w:tcPr>
          <w:p>
            <w:r>
              <w:rPr>
                <w:rFonts w:ascii="Calibri" w:hAnsi="Calibri" w:eastAsia="Microsoft YaHei"/>
                <w:b/>
                <w:color w:val="FFFFFF"/>
                <w:sz w:val="14"/>
              </w:rPr>
              <w:t>功能</w:t>
            </w:r>
          </w:p>
        </w:tc>
        <w:tc>
          <w:tcPr>
            <w:tcW w:type="dxa" w:w="1656"/>
            <w:shd w:fill="17365D"/>
            <w:tcMar>
              <w:top w:w="75" w:type="dxa"/>
              <w:start w:w="100" w:type="dxa"/>
              <w:bottom w:w="75" w:type="dxa"/>
              <w:end w:w="100" w:type="dxa"/>
            </w:tcMar>
            <w:vAlign w:val="center"/>
          </w:tcPr>
          <w:p>
            <w:r>
              <w:rPr>
                <w:rFonts w:ascii="Calibri" w:hAnsi="Calibri" w:eastAsia="Microsoft YaHei"/>
                <w:b/>
                <w:color w:val="FFFFFF"/>
                <w:sz w:val="14"/>
              </w:rPr>
              <w:t>功能点</w:t>
            </w:r>
          </w:p>
        </w:tc>
        <w:tc>
          <w:tcPr>
            <w:tcW w:type="dxa" w:w="2736"/>
            <w:shd w:fill="17365D"/>
            <w:tcMar>
              <w:top w:w="75" w:type="dxa"/>
              <w:start w:w="100" w:type="dxa"/>
              <w:bottom w:w="75" w:type="dxa"/>
              <w:end w:w="100" w:type="dxa"/>
            </w:tcMar>
            <w:vAlign w:val="center"/>
          </w:tcPr>
          <w:p>
            <w:r>
              <w:rPr>
                <w:rFonts w:ascii="Calibri" w:hAnsi="Calibri" w:eastAsia="Microsoft YaHei"/>
                <w:b/>
                <w:color w:val="FFFFFF"/>
                <w:sz w:val="14"/>
              </w:rPr>
              <w:t>界面操作</w:t>
            </w:r>
          </w:p>
        </w:tc>
        <w:tc>
          <w:tcPr>
            <w:tcW w:type="dxa" w:w="3384"/>
            <w:shd w:fill="17365D"/>
            <w:tcMar>
              <w:top w:w="75" w:type="dxa"/>
              <w:start w:w="100" w:type="dxa"/>
              <w:bottom w:w="75" w:type="dxa"/>
              <w:end w:w="100" w:type="dxa"/>
            </w:tcMar>
            <w:vAlign w:val="center"/>
          </w:tcPr>
          <w:p>
            <w:r>
              <w:rPr>
                <w:rFonts w:ascii="Calibri" w:hAnsi="Calibri" w:eastAsia="Microsoft YaHei"/>
                <w:b/>
                <w:color w:val="FFFFFF"/>
                <w:sz w:val="14"/>
              </w:rPr>
              <w:t>系统处理</w:t>
            </w:r>
          </w:p>
        </w:tc>
        <w:tc>
          <w:tcPr>
            <w:tcW w:type="dxa" w:w="2736"/>
            <w:shd w:fill="17365D"/>
            <w:tcMar>
              <w:top w:w="75" w:type="dxa"/>
              <w:start w:w="100" w:type="dxa"/>
              <w:bottom w:w="75" w:type="dxa"/>
              <w:end w:w="100" w:type="dxa"/>
            </w:tcMar>
            <w:vAlign w:val="center"/>
          </w:tcPr>
          <w:p>
            <w:r>
              <w:rPr>
                <w:rFonts w:ascii="Calibri" w:hAnsi="Calibri" w:eastAsia="Microsoft YaHei"/>
                <w:b/>
                <w:color w:val="FFFFFF"/>
                <w:sz w:val="14"/>
              </w:rPr>
              <w:t>验收结果</w:t>
            </w:r>
          </w:p>
        </w:tc>
      </w:tr>
      <w:tr>
        <w:trPr>
          <w:cantSplit/>
        </w:trPr>
        <w:tc>
          <w:tcPr>
            <w:tcW w:type="dxa" w:w="10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FP01</w:t>
            </w:r>
          </w:p>
        </w:tc>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切换统计范围</w:t>
            </w:r>
          </w:p>
        </w:tc>
        <w:tc>
          <w:tcPr>
            <w:tcW w:type="dxa" w:w="27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选择周期、业务、区域或门店后提交同一查询上下文。</w:t>
            </w:r>
          </w:p>
        </w:tc>
        <w:tc>
          <w:tcPr>
            <w:tcW w:type="dxa" w:w="33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聚合服务并行计算组件；前端保留成功组件并单独显示失败组件。</w:t>
            </w:r>
          </w:p>
        </w:tc>
        <w:tc>
          <w:tcPr>
            <w:tcW w:type="dxa" w:w="27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全部组件回显相同筛选摘要和数据截止时间。</w:t>
            </w:r>
          </w:p>
        </w:tc>
      </w:tr>
      <w:tr>
        <w:trPr>
          <w:cantSplit/>
        </w:trPr>
        <w:tc>
          <w:tcPr>
            <w:tcW w:type="dxa" w:w="10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FP02</w:t>
            </w:r>
          </w:p>
        </w:tc>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查看指标口径</w:t>
            </w:r>
          </w:p>
        </w:tc>
        <w:tc>
          <w:tcPr>
            <w:tcW w:type="dxa" w:w="27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点击指标名称旁的口径入口。</w:t>
            </w:r>
          </w:p>
        </w:tc>
        <w:tc>
          <w:tcPr>
            <w:tcW w:type="dxa" w:w="33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返回定义、公式、分子、分母、排除项、指标口径版本、模型版本和数据源。</w:t>
            </w:r>
          </w:p>
        </w:tc>
        <w:tc>
          <w:tcPr>
            <w:tcW w:type="dxa" w:w="27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口径内容与本页显示值可以复算。</w:t>
            </w:r>
          </w:p>
        </w:tc>
      </w:tr>
      <w:tr>
        <w:trPr>
          <w:cantSplit/>
        </w:trPr>
        <w:tc>
          <w:tcPr>
            <w:tcW w:type="dxa" w:w="10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FP03</w:t>
            </w:r>
          </w:p>
        </w:tc>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查看趋势明细</w:t>
            </w:r>
          </w:p>
        </w:tc>
        <w:tc>
          <w:tcPr>
            <w:tcW w:type="dxa" w:w="27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悬停数据点或切换7日、30日、90日。</w:t>
            </w:r>
          </w:p>
        </w:tc>
        <w:tc>
          <w:tcPr>
            <w:tcW w:type="dxa" w:w="33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按请求粒度查询原始事实聚合，不对已有日比例再次平均。</w:t>
            </w:r>
          </w:p>
        </w:tc>
        <w:tc>
          <w:tcPr>
            <w:tcW w:type="dxa" w:w="27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提示框值、坐标点和导出值一致。</w:t>
            </w:r>
          </w:p>
        </w:tc>
      </w:tr>
      <w:tr>
        <w:trPr>
          <w:cantSplit/>
        </w:trPr>
        <w:tc>
          <w:tcPr>
            <w:tcW w:type="dxa" w:w="10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FP04</w:t>
            </w:r>
          </w:p>
        </w:tc>
        <w:tc>
          <w:tcPr>
            <w:tcW w:type="dxa" w:w="165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下钻客户明细</w:t>
            </w:r>
          </w:p>
        </w:tc>
        <w:tc>
          <w:tcPr>
            <w:tcW w:type="dxa" w:w="27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点击卡片、图例、分层或趋势数据点。</w:t>
            </w:r>
          </w:p>
        </w:tc>
        <w:tc>
          <w:tcPr>
            <w:tcW w:type="dxa" w:w="338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携带筛选条件、数据截止时间、指标口径版本、指标编号和bucket进入客户档案列表。</w:t>
            </w:r>
          </w:p>
        </w:tc>
        <w:tc>
          <w:tcPr>
            <w:tcW w:type="dxa" w:w="27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4"/>
              </w:rPr>
              <w:t>下钻唯一客户数与原指标分子一致，并显示口径摘要。</w:t>
            </w:r>
          </w:p>
        </w:tc>
      </w:tr>
      <w:tr>
        <w:trPr>
          <w:cantSplit/>
        </w:trPr>
        <w:tc>
          <w:tcPr>
            <w:tcW w:type="dxa" w:w="10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FP05</w:t>
            </w:r>
          </w:p>
        </w:tc>
        <w:tc>
          <w:tcPr>
            <w:tcW w:type="dxa" w:w="165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导出分析报告</w:t>
            </w:r>
          </w:p>
        </w:tc>
        <w:tc>
          <w:tcPr>
            <w:tcW w:type="dxa" w:w="27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选择当前视图或含明细报告并提交。</w:t>
            </w:r>
          </w:p>
        </w:tc>
        <w:tc>
          <w:tcPr>
            <w:tcW w:type="dxa" w:w="338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冻结筛选、权限范围、数据截止水位和口径版本，异步生成带有效期的下载文件。</w:t>
            </w:r>
          </w:p>
        </w:tc>
        <w:tc>
          <w:tcPr>
            <w:tcW w:type="dxa" w:w="27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4"/>
              </w:rPr>
              <w:t>重复客户端请求编号返回同一任务；下载脱敏并记录审计。</w:t>
            </w:r>
          </w:p>
        </w:tc>
      </w:tr>
    </w:tbl>
    <w:p>
      <w:pPr>
        <w:spacing w:after="0"/>
      </w:pPr>
    </w:p>
    <w:p>
      <w:pPr>
        <w:pStyle w:val="Heading1"/>
      </w:pPr>
      <w:r>
        <w:t>7 数据时间刷新与对比</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主题</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规则</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时间边界</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所有自然日按香港时间解释，接口使用含时区带时区的标准时间格式；开始时间包含，结束时间不包含。</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数据截止时间</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页面显示所有组件中最早的可靠数据截止水位，并在每个组件中保留独立数据截止水位。</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刷新频率</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客户、订单和互动事实每15分钟增量；续租与风险模型每日重算；具体SLA由数据平台配置返回。</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迟到数据</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进入下次增量或人工重算；已归档报告不可改写，新报告使用新的数据快照编号。</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对比规则</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完整周期对比上一相邻等长周期；未完整周期对比上一周期相同已过时长；同比需相同日历位置。</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口径变更</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指标口径版本或模型版本变化时停止直接展示趋势差值，提示口径已变并允许查看版本说明。</w:t>
            </w:r>
          </w:p>
        </w:tc>
      </w:tr>
    </w:tbl>
    <w:p>
      <w:pPr>
        <w:spacing w:after="0"/>
      </w:pPr>
    </w:p>
    <w:p>
      <w:pPr>
        <w:pStyle w:val="Heading1"/>
      </w:pPr>
      <w:r>
        <w:t>8 数据处理链路</w:t>
      </w:r>
    </w:p>
    <w:p>
      <w:pPr>
        <w:pStyle w:val="ListBullet"/>
      </w:pPr>
      <w:r>
        <w:t>客户档案、订单、租约、续租、线索、会话和小程序行为产生带事件编号的事实事件</w:t>
      </w:r>
    </w:p>
    <w:p>
      <w:pPr>
        <w:pStyle w:val="ListBullet"/>
      </w:pPr>
      <w:r>
        <w:t>数据接入按事件编号去重，并将客户合并关系映射到主客户编号</w:t>
      </w:r>
    </w:p>
    <w:p>
      <w:pPr>
        <w:pStyle w:val="ListBullet"/>
      </w:pPr>
      <w:r>
        <w:t>统计层按指标口径版本、维度和数据截止时间计算快照与周期事实</w:t>
      </w:r>
    </w:p>
    <w:p>
      <w:pPr>
        <w:pStyle w:val="ListBullet"/>
      </w:pPr>
      <w:r>
        <w:t>查询服务执行数据权限范围后返回指标、分子分母、数据截止水位、状态和下钻条件</w:t>
      </w:r>
    </w:p>
    <w:p>
      <w:pPr>
        <w:pStyle w:val="ListBullet"/>
      </w:pPr>
      <w:r>
        <w:t>前端按组件渲染；异步导出冻结数据快照编号并生成审计记录</w:t>
      </w:r>
    </w:p>
    <w:p>
      <w:pPr>
        <w:pStyle w:val="ListBullet"/>
      </w:pPr>
      <w:r>
        <w:t>源数据更正后发布分析指标.Invalidated事件，缓存只失效受影响指标和维度</w:t>
      </w:r>
    </w:p>
    <w:p>
      <w:pPr>
        <w:pStyle w:val="Heading1"/>
      </w:pPr>
      <w:r>
        <w:t>9 跨端数据规则</w:t>
      </w:r>
    </w:p>
    <w:tbl>
      <w:tblPr>
        <w:tblStyle w:val="TableGrid"/>
        <w:tblW w:type="dxa" w:w="10224"/>
        <w:jc w:val="center"/>
        <w:tblLayout w:type="fixed"/>
        <w:tblLook w:firstColumn="1" w:firstRow="1" w:lastColumn="0" w:lastRow="0" w:noHBand="0" w:noVBand="1" w:val="04A0"/>
      </w:tblPr>
      <w:tblGrid>
        <w:gridCol w:w="1872"/>
        <w:gridCol w:w="8352"/>
      </w:tblGrid>
      <w:tr>
        <w:trPr>
          <w:tblHeader/>
        </w:trPr>
        <w:tc>
          <w:tcPr>
            <w:tcW w:type="dxa" w:w="1872"/>
            <w:shd w:fill="17365D"/>
            <w:tcMar>
              <w:top w:w="75" w:type="dxa"/>
              <w:start w:w="100" w:type="dxa"/>
              <w:bottom w:w="75" w:type="dxa"/>
              <w:end w:w="100" w:type="dxa"/>
            </w:tcMar>
            <w:vAlign w:val="center"/>
          </w:tcPr>
          <w:p>
            <w:r>
              <w:rPr>
                <w:rFonts w:ascii="Calibri" w:hAnsi="Calibri" w:eastAsia="Microsoft YaHei"/>
                <w:b/>
                <w:color w:val="FFFFFF"/>
                <w:sz w:val="17"/>
              </w:rPr>
              <w:t>规则</w:t>
            </w:r>
          </w:p>
        </w:tc>
        <w:tc>
          <w:tcPr>
            <w:tcW w:type="dxa" w:w="8352"/>
            <w:shd w:fill="17365D"/>
            <w:tcMar>
              <w:top w:w="75" w:type="dxa"/>
              <w:start w:w="100" w:type="dxa"/>
              <w:bottom w:w="75" w:type="dxa"/>
              <w:end w:w="100" w:type="dxa"/>
            </w:tcMar>
            <w:vAlign w:val="center"/>
          </w:tcPr>
          <w:p>
            <w:r>
              <w:rPr>
                <w:rFonts w:ascii="Calibri" w:hAnsi="Calibri" w:eastAsia="Microsoft YaHei"/>
                <w:b/>
                <w:color w:val="FFFFFF"/>
                <w:sz w:val="17"/>
              </w:rPr>
              <w:t>要求</w:t>
            </w:r>
          </w:p>
        </w:tc>
      </w:tr>
      <w:tr>
        <w:trPr>
          <w:cantSplit/>
        </w:trPr>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OS-OPS-PRD-11-X01</w:t>
            </w:r>
          </w:p>
        </w:tc>
        <w:tc>
          <w:tcPr>
            <w:tcW w:type="dxa" w:w="83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客户小程序上报登录、回复、提交表单、下单和付款等已定义行为事件，只传统计所需字段</w:t>
            </w:r>
          </w:p>
        </w:tc>
      </w:tr>
      <w:tr>
        <w:trPr>
          <w:cantSplit/>
        </w:trPr>
        <w:tc>
          <w:tcPr>
            <w:tcW w:type="dxa" w:w="187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OS-OPS-PRD-11-X02</w:t>
            </w:r>
          </w:p>
        </w:tc>
        <w:tc>
          <w:tcPr>
            <w:tcW w:type="dxa" w:w="8352"/>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AIWA只上报会话标识、客户标识、事件类型和发生时间，消息原文不进入分析宽表</w:t>
            </w:r>
          </w:p>
        </w:tc>
      </w:tr>
      <w:tr>
        <w:trPr>
          <w:cantSplit/>
        </w:trPr>
        <w:tc>
          <w:tcPr>
            <w:tcW w:type="dxa" w:w="187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OS-OPS-PRD-11-X03</w:t>
            </w:r>
          </w:p>
        </w:tc>
        <w:tc>
          <w:tcPr>
            <w:tcW w:type="dxa" w:w="8352"/>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下钻客户列表由客户档案模块承载并复用同一筛选、数据截止时间和指标口径版本</w:t>
            </w:r>
          </w:p>
        </w:tc>
      </w:tr>
    </w:tbl>
    <w:p>
      <w:pPr>
        <w:spacing w:after="0"/>
      </w:pPr>
    </w:p>
    <w:p>
      <w:pPr>
        <w:pStyle w:val="ListBullet"/>
      </w:pPr>
      <w:r>
        <w:t>跨端事件必须包含事件编号、客户编号、事件类型、发生时间、来源和数据结构版本</w:t>
      </w:r>
    </w:p>
    <w:p>
      <w:pPr>
        <w:pStyle w:val="ListBullet"/>
      </w:pPr>
      <w:r>
        <w:t>客户撤回营销授权后不删除历史经营事实，但下钻和导出按当前权限与授权脱敏</w:t>
      </w:r>
    </w:p>
    <w:p>
      <w:pPr>
        <w:pStyle w:val="ListBullet"/>
      </w:pPr>
      <w:r>
        <w:t>小程序离线事件按原发生时间计入业务周期，按数据入库时间判断迟到并触发重算</w:t>
      </w:r>
    </w:p>
    <w:p>
      <w:pPr>
        <w:pStyle w:val="Heading1"/>
      </w:pPr>
      <w:r>
        <w:t>10 接口与数据契约</w:t>
      </w:r>
    </w:p>
    <w:tbl>
      <w:tblPr>
        <w:tblStyle w:val="TableGrid"/>
        <w:tblW w:type="dxa" w:w="10224"/>
        <w:jc w:val="center"/>
        <w:tblLayout w:type="fixed"/>
        <w:tblLook w:firstColumn="1" w:firstRow="1" w:lastColumn="0" w:lastRow="0" w:noHBand="0" w:noVBand="1" w:val="04A0"/>
      </w:tblPr>
      <w:tblGrid>
        <w:gridCol w:w="1728"/>
        <w:gridCol w:w="3888"/>
        <w:gridCol w:w="4608"/>
      </w:tblGrid>
      <w:tr>
        <w:trPr>
          <w:tblHeader/>
        </w:trPr>
        <w:tc>
          <w:tcPr>
            <w:tcW w:type="dxa" w:w="1728"/>
            <w:shd w:fill="17365D"/>
            <w:tcMar>
              <w:top w:w="75" w:type="dxa"/>
              <w:start w:w="100" w:type="dxa"/>
              <w:bottom w:w="75" w:type="dxa"/>
              <w:end w:w="100" w:type="dxa"/>
            </w:tcMar>
            <w:vAlign w:val="center"/>
          </w:tcPr>
          <w:p>
            <w:r>
              <w:rPr>
                <w:rFonts w:ascii="Calibri" w:hAnsi="Calibri" w:eastAsia="Microsoft YaHei"/>
                <w:b/>
                <w:color w:val="FFFFFF"/>
                <w:sz w:val="15"/>
              </w:rPr>
              <w:t>契约</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5"/>
              </w:rPr>
              <w:t>路径或事件</w:t>
            </w:r>
          </w:p>
        </w:tc>
        <w:tc>
          <w:tcPr>
            <w:tcW w:type="dxa" w:w="4608"/>
            <w:shd w:fill="17365D"/>
            <w:tcMar>
              <w:top w:w="75" w:type="dxa"/>
              <w:start w:w="100" w:type="dxa"/>
              <w:bottom w:w="75" w:type="dxa"/>
              <w:end w:w="100" w:type="dxa"/>
            </w:tcMar>
            <w:vAlign w:val="center"/>
          </w:tcPr>
          <w:p>
            <w:r>
              <w:rPr>
                <w:rFonts w:ascii="Calibri" w:hAnsi="Calibri" w:eastAsia="Microsoft YaHei"/>
                <w:b/>
                <w:color w:val="FFFFFF"/>
                <w:sz w:val="15"/>
              </w:rPr>
              <w:t>关键要求</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指标总览</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/ops/v1/customer-analytics/summary</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筛选条件、数据截止时间、指标口径版本及各组件独立状态</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图表查询</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/ops/v1/customer-analytics/charts/{图表编号}</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粒度、序列、原始值、分子分母、数据截止水位和下钻参数</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口径说明</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GET /ops/v1/customer-analytics/metrics/{指标编号}/definition</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定义、公式、排除项、版本、数据源和模型版本</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指标下钻</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/ops/v1/customer-analytics/drilldowns/{指标编号}</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复用原筛选和快照，返回分页客户明细及可对账总数</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创建导出</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POST /ops/v1/customer-analytics/reports</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客户端请求编号幂等并冻结数据快照编号、指标口径版本和权限范围</w:t>
            </w:r>
          </w:p>
        </w:tc>
      </w:tr>
      <w:tr>
        <w:trPr>
          <w:cantSplit/>
        </w:trPr>
        <w:tc>
          <w:tcPr>
            <w:tcW w:type="dxa" w:w="172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导出任务</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GET /ops/v1/customer-analytics/reports/{报告编号}</w:t>
            </w:r>
          </w:p>
        </w:tc>
        <w:tc>
          <w:tcPr>
            <w:tcW w:type="dxa" w:w="460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5"/>
              </w:rPr>
              <w:t>任务状态、失败原因、文件哈希和短期签名地址</w:t>
            </w:r>
          </w:p>
        </w:tc>
      </w:tr>
      <w:tr>
        <w:trPr>
          <w:cantSplit/>
        </w:trPr>
        <w:tc>
          <w:tcPr>
            <w:tcW w:type="dxa" w:w="172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指标失效事件</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客户分析指标.Invalidated.v1</w:t>
            </w:r>
          </w:p>
        </w:tc>
        <w:tc>
          <w:tcPr>
            <w:tcW w:type="dxa" w:w="460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5"/>
              </w:rPr>
              <w:t>指标编号集合、dimensions、数据截止水位和发生时间</w:t>
            </w:r>
          </w:p>
        </w:tc>
      </w:tr>
    </w:tbl>
    <w:p>
      <w:pPr>
        <w:spacing w:after="0"/>
      </w:pPr>
    </w:p>
    <w:p>
      <w:pPr>
        <w:pStyle w:val="Heading1"/>
      </w:pPr>
      <w:r>
        <w:t>11 异常与边界处理</w:t>
      </w:r>
    </w:p>
    <w:tbl>
      <w:tblPr>
        <w:tblStyle w:val="TableGrid"/>
        <w:tblW w:type="dxa" w:w="10224"/>
        <w:jc w:val="center"/>
        <w:tblLayout w:type="fixed"/>
        <w:tblLook w:firstColumn="1" w:firstRow="1" w:lastColumn="0" w:lastRow="0" w:noHBand="0" w:noVBand="1" w:val="04A0"/>
      </w:tblPr>
      <w:tblGrid>
        <w:gridCol w:w="2088"/>
        <w:gridCol w:w="3888"/>
        <w:gridCol w:w="4248"/>
      </w:tblGrid>
      <w:tr>
        <w:trPr>
          <w:tblHeader/>
        </w:trPr>
        <w:tc>
          <w:tcPr>
            <w:tcW w:type="dxa" w:w="2088"/>
            <w:shd w:fill="17365D"/>
            <w:tcMar>
              <w:top w:w="75" w:type="dxa"/>
              <w:start w:w="100" w:type="dxa"/>
              <w:bottom w:w="75" w:type="dxa"/>
              <w:end w:w="100" w:type="dxa"/>
            </w:tcMar>
            <w:vAlign w:val="center"/>
          </w:tcPr>
          <w:p>
            <w:r>
              <w:rPr>
                <w:rFonts w:ascii="Calibri" w:hAnsi="Calibri" w:eastAsia="Microsoft YaHei"/>
                <w:b/>
                <w:color w:val="FFFFFF"/>
                <w:sz w:val="16"/>
              </w:rPr>
              <w:t>场景</w:t>
            </w:r>
          </w:p>
        </w:tc>
        <w:tc>
          <w:tcPr>
            <w:tcW w:type="dxa" w:w="3888"/>
            <w:shd w:fill="17365D"/>
            <w:tcMar>
              <w:top w:w="75" w:type="dxa"/>
              <w:start w:w="100" w:type="dxa"/>
              <w:bottom w:w="75" w:type="dxa"/>
              <w:end w:w="100" w:type="dxa"/>
            </w:tcMar>
            <w:vAlign w:val="center"/>
          </w:tcPr>
          <w:p>
            <w:r>
              <w:rPr>
                <w:rFonts w:ascii="Calibri" w:hAnsi="Calibri" w:eastAsia="Microsoft YaHei"/>
                <w:b/>
                <w:color w:val="FFFFFF"/>
                <w:sz w:val="16"/>
              </w:rPr>
              <w:t>页面表现</w:t>
            </w:r>
          </w:p>
        </w:tc>
        <w:tc>
          <w:tcPr>
            <w:tcW w:type="dxa" w:w="4248"/>
            <w:shd w:fill="17365D"/>
            <w:tcMar>
              <w:top w:w="75" w:type="dxa"/>
              <w:start w:w="100" w:type="dxa"/>
              <w:bottom w:w="75" w:type="dxa"/>
              <w:end w:w="100" w:type="dxa"/>
            </w:tcMar>
            <w:vAlign w:val="center"/>
          </w:tcPr>
          <w:p>
            <w:r>
              <w:rPr>
                <w:rFonts w:ascii="Calibri" w:hAnsi="Calibri" w:eastAsia="Microsoft YaHei"/>
                <w:b/>
                <w:color w:val="FFFFFF"/>
                <w:sz w:val="16"/>
              </w:rPr>
              <w:t>系统处理</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分母为零</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显示—及口径提示</w:t>
            </w:r>
          </w:p>
        </w:tc>
        <w:tc>
          <w:tcPr>
            <w:tcW w:type="dxa" w:w="424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返回统计分母为零和分子 0，不返回0%</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无符合条件数据</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显示明确空态</w:t>
            </w:r>
          </w:p>
        </w:tc>
        <w:tc>
          <w:tcPr>
            <w:tcW w:type="dxa" w:w="424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返回成功和空序列，不视为接口失败</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部分数据源延迟</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仅受影响组件标记过期</w:t>
            </w:r>
          </w:p>
        </w:tc>
        <w:tc>
          <w:tcPr>
            <w:tcW w:type="dxa" w:w="424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保留最后成功值、数据截止水位和重试入口</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指标查询失败</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组件显示失败，不清空其他组件</w:t>
            </w:r>
          </w:p>
        </w:tc>
        <w:tc>
          <w:tcPr>
            <w:tcW w:type="dxa" w:w="424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记录链路追踪编号并允许独立重试</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口径版本变化</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停止直接比较并提示版本变化</w:t>
            </w:r>
          </w:p>
        </w:tc>
        <w:tc>
          <w:tcPr>
            <w:tcW w:type="dxa" w:w="424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新旧结果分别保留指标口径版本</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下钻不一致</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显示数据正在重算</w:t>
            </w:r>
          </w:p>
        </w:tc>
        <w:tc>
          <w:tcPr>
            <w:tcW w:type="dxa" w:w="424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禁止用不同数据快照编号拼接，触发对账告警</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无明细权限</w:t>
            </w:r>
          </w:p>
        </w:tc>
        <w:tc>
          <w:tcPr>
            <w:tcW w:type="dxa" w:w="38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汇总可见但下钻按钮隐藏</w:t>
            </w:r>
          </w:p>
        </w:tc>
        <w:tc>
          <w:tcPr>
            <w:tcW w:type="dxa" w:w="424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6"/>
              </w:rPr>
              <w:t>直接请求返回403并记录拒绝审计</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导出超时</w:t>
            </w:r>
          </w:p>
        </w:tc>
        <w:tc>
          <w:tcPr>
            <w:tcW w:type="dxa" w:w="38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显示任务编号和失败原因</w:t>
            </w:r>
          </w:p>
        </w:tc>
        <w:tc>
          <w:tcPr>
            <w:tcW w:type="dxa" w:w="424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6"/>
              </w:rPr>
              <w:t>允许沿用客户端请求编号重试且不生成重复报告</w:t>
            </w:r>
          </w:p>
        </w:tc>
      </w:tr>
    </w:tbl>
    <w:p>
      <w:pPr>
        <w:spacing w:after="0"/>
      </w:pPr>
    </w:p>
    <w:p>
      <w:pPr>
        <w:pStyle w:val="Heading1"/>
      </w:pPr>
      <w:r>
        <w:t>12 验收标准</w:t>
      </w:r>
    </w:p>
    <w:tbl>
      <w:tblPr>
        <w:tblStyle w:val="TableGrid"/>
        <w:tblW w:type="dxa" w:w="10224"/>
        <w:jc w:val="center"/>
        <w:tblLayout w:type="fixed"/>
        <w:tblLook w:firstColumn="1" w:firstRow="1" w:lastColumn="0" w:lastRow="0" w:noHBand="0" w:noVBand="1" w:val="04A0"/>
      </w:tblPr>
      <w:tblGrid>
        <w:gridCol w:w="1944"/>
        <w:gridCol w:w="8280"/>
      </w:tblGrid>
      <w:tr>
        <w:trPr>
          <w:tblHeader/>
        </w:trPr>
        <w:tc>
          <w:tcPr>
            <w:tcW w:type="dxa" w:w="1944"/>
            <w:shd w:fill="17365D"/>
            <w:tcMar>
              <w:top w:w="75" w:type="dxa"/>
              <w:start w:w="100" w:type="dxa"/>
              <w:bottom w:w="75" w:type="dxa"/>
              <w:end w:w="100" w:type="dxa"/>
            </w:tcMar>
            <w:vAlign w:val="center"/>
          </w:tcPr>
          <w:p>
            <w:r>
              <w:rPr>
                <w:rFonts w:ascii="Calibri" w:hAnsi="Calibri" w:eastAsia="Microsoft YaHei"/>
                <w:b/>
                <w:color w:val="FFFFFF"/>
                <w:sz w:val="17"/>
              </w:rPr>
              <w:t>验收ID</w:t>
            </w:r>
          </w:p>
        </w:tc>
        <w:tc>
          <w:tcPr>
            <w:tcW w:type="dxa" w:w="8280"/>
            <w:shd w:fill="17365D"/>
            <w:tcMar>
              <w:top w:w="75" w:type="dxa"/>
              <w:start w:w="100" w:type="dxa"/>
              <w:bottom w:w="75" w:type="dxa"/>
              <w:end w:w="100" w:type="dxa"/>
            </w:tcMar>
            <w:vAlign w:val="center"/>
          </w:tcPr>
          <w:p>
            <w:r>
              <w:rPr>
                <w:rFonts w:ascii="Calibri" w:hAnsi="Calibri" w:eastAsia="Microsoft YaHei"/>
                <w:b/>
                <w:color w:val="FFFFFF"/>
                <w:sz w:val="17"/>
              </w:rPr>
              <w:t>验收条件</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OS-OPS-PRD-11-AC01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CA01至CA09均返回定义、原始值、分子、分母、时间锚点、排除项、指标口径版本和数据截止水位</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OS-OPS-PRD-11-AC02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客户跨门店或同时租用多个产品时，人数指标按客户编号去重且全局结果可由明细复算</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OS-OPS-PRD-11-AC03</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CA04始终等于CA02减CA03；负增长正常显示</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OS-OPS-PRD-11-AC04</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CA07按租约统计，分子不得超过分母，变化值使用百分点pp</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OS-OPS-PRD-11-AC05</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CH04各沉默层级互斥且合计等于CA09</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OS-OPS-PRD-11-AC06</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当前周期对比上一周期相同已过时长，时区边界和夏令时处理可复现</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OS-OPS-PRD-11-AC07</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零分母显示—，合法零值显示0，数据失败不得伪装成0</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OS-OPS-PRD-11-AC08</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任一卡片或图表下钻后，唯一客户数与原指标分子一致</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OS-OPS-PRD-11-AC09</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筛选、页面、下钻和导出使用同一筛选条件、数据截止时间、指标口径版本和数据快照编号</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OS-OPS-PRD-11-AC10</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原型演示数字不作为断言；测试数据必须通过分子分母和客户明细双向对账</w:t>
            </w:r>
          </w:p>
        </w:tc>
      </w:tr>
      <w:tr>
        <w:trPr>
          <w:cantSplit/>
        </w:trPr>
        <w:tc>
          <w:tcPr>
            <w:tcW w:type="dxa" w:w="1944"/>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OS-OPS-PRD-11-AC11</w:t>
            </w:r>
          </w:p>
        </w:tc>
        <w:tc>
          <w:tcPr>
            <w:tcW w:type="dxa" w:w="8280"/>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汇总、下钻和导出均执行数据权限范围、脱敏和下载审计</w:t>
            </w:r>
          </w:p>
        </w:tc>
      </w:tr>
      <w:tr>
        <w:trPr>
          <w:cantSplit/>
        </w:trPr>
        <w:tc>
          <w:tcPr>
            <w:tcW w:type="dxa" w:w="1944"/>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OS-OPS-PRD-11-AC12</w:t>
            </w:r>
          </w:p>
        </w:tc>
        <w:tc>
          <w:tcPr>
            <w:tcW w:type="dxa" w:w="8280"/>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删除新增编辑客户及客群表单相关接口、文案和测试用例</w:t>
            </w:r>
          </w:p>
        </w:tc>
      </w:tr>
    </w:tbl>
    <w:p>
      <w:pPr>
        <w:spacing w:after="0"/>
      </w:pPr>
    </w:p>
    <w:p>
      <w:pPr>
        <w:pStyle w:val="Heading1"/>
      </w:pPr>
      <w:r>
        <w:t>13 研发分工</w:t>
      </w:r>
    </w:p>
    <w:tbl>
      <w:tblPr>
        <w:tblStyle w:val="TableGrid"/>
        <w:tblW w:type="dxa" w:w="10224"/>
        <w:jc w:val="center"/>
        <w:tblLayout w:type="fixed"/>
        <w:tblLook w:firstColumn="1" w:firstRow="1" w:lastColumn="0" w:lastRow="0" w:noHBand="0" w:noVBand="1" w:val="04A0"/>
      </w:tblPr>
      <w:tblGrid>
        <w:gridCol w:w="2088"/>
        <w:gridCol w:w="8136"/>
      </w:tblGrid>
      <w:tr>
        <w:trPr>
          <w:tblHeader/>
        </w:trPr>
        <w:tc>
          <w:tcPr>
            <w:tcW w:type="dxa" w:w="2088"/>
            <w:shd w:fill="17365D"/>
            <w:tcMar>
              <w:top w:w="75" w:type="dxa"/>
              <w:start w:w="100" w:type="dxa"/>
              <w:bottom w:w="75" w:type="dxa"/>
              <w:end w:w="100" w:type="dxa"/>
            </w:tcMar>
            <w:vAlign w:val="center"/>
          </w:tcPr>
          <w:p>
            <w:r>
              <w:rPr>
                <w:rFonts w:ascii="Calibri" w:hAnsi="Calibri" w:eastAsia="Microsoft YaHei"/>
                <w:b/>
                <w:color w:val="FFFFFF"/>
                <w:sz w:val="17"/>
              </w:rPr>
              <w:t>工作包</w:t>
            </w:r>
          </w:p>
        </w:tc>
        <w:tc>
          <w:tcPr>
            <w:tcW w:type="dxa" w:w="8136"/>
            <w:shd w:fill="17365D"/>
            <w:tcMar>
              <w:top w:w="75" w:type="dxa"/>
              <w:start w:w="100" w:type="dxa"/>
              <w:bottom w:w="75" w:type="dxa"/>
              <w:end w:w="100" w:type="dxa"/>
            </w:tcMar>
            <w:vAlign w:val="center"/>
          </w:tcPr>
          <w:p>
            <w:r>
              <w:rPr>
                <w:rFonts w:ascii="Calibri" w:hAnsi="Calibri" w:eastAsia="Microsoft YaHei"/>
                <w:b/>
                <w:color w:val="FFFFFF"/>
                <w:sz w:val="17"/>
              </w:rPr>
              <w:t>交付内容</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运营后台前端</w:t>
            </w:r>
          </w:p>
        </w:tc>
        <w:tc>
          <w:tcPr>
            <w:tcW w:type="dxa" w:w="81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全局筛选、指标卡、趋势、口径弹层、组件状态、下钻和导出任务</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分析服务后端</w:t>
            </w:r>
          </w:p>
        </w:tc>
        <w:tc>
          <w:tcPr>
            <w:tcW w:type="dxa" w:w="81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指标查询、明细下钻、权限、缓存、幂等导出和失效事件</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数据平台</w:t>
            </w:r>
          </w:p>
        </w:tc>
        <w:tc>
          <w:tcPr>
            <w:tcW w:type="dxa" w:w="81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事实模型、客户归一、指标计算、数据截止水位、快照、重算和数据质量告警</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客户档案与业务域</w:t>
            </w:r>
          </w:p>
        </w:tc>
        <w:tc>
          <w:tcPr>
            <w:tcW w:type="dxa" w:w="81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客户、租约、续租、流失和互动事实的稳定事件与字典</w:t>
            </w:r>
          </w:p>
        </w:tc>
      </w:tr>
      <w:tr>
        <w:trPr>
          <w:cantSplit/>
        </w:trPr>
        <w:tc>
          <w:tcPr>
            <w:tcW w:type="dxa" w:w="2088"/>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测试</w:t>
            </w:r>
          </w:p>
        </w:tc>
        <w:tc>
          <w:tcPr>
            <w:tcW w:type="dxa" w:w="8136"/>
            <w:tcMar>
              <w:top w:w="75" w:type="dxa"/>
              <w:start w:w="100" w:type="dxa"/>
              <w:bottom w:w="75" w:type="dxa"/>
              <w:end w:w="100" w:type="dxa"/>
            </w:tcMar>
            <w:vAlign w:val="center"/>
          </w:tcPr>
          <w:p>
            <w:pPr>
              <w:spacing w:after="0" w:line="259" w:lineRule="auto"/>
            </w:pPr>
            <w:r>
              <w:rPr>
                <w:rFonts w:ascii="Calibri" w:hAnsi="Calibri" w:eastAsia="Microsoft YaHei"/>
                <w:b w:val="0"/>
                <w:color w:val="1F2937"/>
                <w:sz w:val="17"/>
              </w:rPr>
              <w:t>公式、去重、时间边界、跨维度汇总、下钻对账、权限和故障降级</w:t>
            </w:r>
          </w:p>
        </w:tc>
      </w:tr>
      <w:tr>
        <w:trPr>
          <w:cantSplit/>
        </w:trPr>
        <w:tc>
          <w:tcPr>
            <w:tcW w:type="dxa" w:w="2088"/>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运营</w:t>
            </w:r>
          </w:p>
        </w:tc>
        <w:tc>
          <w:tcPr>
            <w:tcW w:type="dxa" w:w="8136"/>
            <w:tcMar>
              <w:top w:w="75" w:type="dxa"/>
              <w:start w:w="100" w:type="dxa"/>
              <w:bottom w:w="75" w:type="dxa"/>
              <w:end w:w="100" w:type="dxa"/>
            </w:tcMar>
            <w:vAlign w:val="center"/>
            <w:shd w:fill="F4F7FB"/>
          </w:tcPr>
          <w:p>
            <w:pPr>
              <w:spacing w:after="0" w:line="259" w:lineRule="auto"/>
            </w:pPr>
            <w:r>
              <w:rPr>
                <w:rFonts w:ascii="Calibri" w:hAnsi="Calibri" w:eastAsia="Microsoft YaHei"/>
                <w:b w:val="0"/>
                <w:color w:val="1F2937"/>
                <w:sz w:val="17"/>
              </w:rPr>
              <w:t>确认指标业务含义、排除规则、风险模型使用方式和报告权限</w:t>
            </w:r>
          </w:p>
        </w:tc>
      </w:tr>
    </w:tbl>
    <w:p>
      <w:pPr>
        <w:spacing w:after="0"/>
      </w:pPr>
    </w:p>
    <w:sectPr w:rsidR="00FC693F" w:rsidRPr="0006063C" w:rsidSect="00034616">
      <w:headerReference w:type="default" r:id="rId9"/>
      <w:footerReference w:type="default" r:id="rId10"/>
      <w:pgSz w:w="12240" w:h="15840"/>
      <w:pgMar w:top="1037"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7085"/>
        <w:sz w:val="15"/>
      </w:rPr>
      <w:t xml:space="preserve">V2.4  |  2026-09-09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color w:val="17365D"/>
        <w:sz w:val="15"/>
      </w:rPr>
      <w:t>ONE STORAGE  |  OS-OPS-PRD-11  |  客户分析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Calibri" w:hAnsi="Calibri" w:eastAsia="Microsoft YaHe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Microsoft YaHe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eastAsia="Microsoft YaHe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