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media/image1.png" ContentType="image/jpeg"/>
  <Override PartName="/word/media/image2.png" ContentType="image/jpeg"/>
  <Override PartName="/word/media/image3.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before="1040"/>
        <w:jc w:val="center"/>
      </w:pPr>
      <w:r>
        <w:t>转仓管理 PRD</w:t>
      </w:r>
    </w:p>
    <w:p>
      <w:pPr>
        <w:jc w:val="center"/>
      </w:pPr>
      <w:r>
        <w:rPr>
          <w:rFonts w:ascii="Calibri" w:hAnsi="Calibri" w:eastAsia="Microsoft YaHei"/>
          <w:b w:val="0"/>
          <w:color w:val="667085"/>
          <w:sz w:val="26"/>
        </w:rPr>
        <w:t>运营后台研发详细需求规格</w:t>
      </w:r>
    </w:p>
    <w:p>
      <w:pPr>
        <w:spacing w:before="440"/>
        <w:jc w:val="center"/>
      </w:pPr>
      <w:r>
        <w:rPr>
          <w:rFonts w:ascii="Calibri" w:hAnsi="Calibri" w:eastAsia="Microsoft YaHei"/>
          <w:b/>
          <w:color w:val="2E74B5"/>
          <w:sz w:val="20"/>
        </w:rPr>
        <w:t>OS-OPS-PRD-16  |  V2.5  |  2026-09-09</w:t>
      </w:r>
    </w:p>
    <w:p>
      <w:pPr>
        <w:spacing w:before="1440"/>
        <w:jc w:val="center"/>
      </w:pPr>
      <w:r>
        <w:rPr>
          <w:rFonts w:ascii="Calibri" w:hAnsi="Calibri" w:eastAsia="Microsoft YaHei"/>
          <w:b w:val="0"/>
          <w:color w:val="1F2937"/>
          <w:sz w:val="22"/>
        </w:rPr>
        <w:t>管理原仓位至目标仓位的选位、差价、按金、合同和交接。</w:t>
      </w:r>
    </w:p>
    <w:p>
      <w:r/>
    </w:p>
    <w:p>
      <w:pPr>
        <w:pStyle w:val="Heading1"/>
      </w:pPr>
      <w:r>
        <w:t>1 文档目标与范围</w:t>
      </w:r>
    </w:p>
    <w:p>
      <w:r>
        <w:t>管理原仓位至目标仓位的选位、差价、按金、合同和交接。 本文档明确页面字段、操作流程、业务规则、跨端契约、权限和验收条件，研发与测试应以本文档及已冻结的接口契约为实现依据。</w:t>
      </w:r>
    </w:p>
    <w:tbl>
      <w:tblPr>
        <w:tblStyle w:val="TableGrid"/>
        <w:tblW w:type="dxa" w:w="10224"/>
        <w:jc w:val="center"/>
        <w:tblLayout w:type="fixed"/>
        <w:tblLook w:firstColumn="1" w:firstRow="1" w:lastColumn="0" w:lastRow="0" w:noHBand="0" w:noVBand="1" w:val="04A0"/>
      </w:tblPr>
      <w:tblGrid>
        <w:gridCol w:w="1944"/>
        <w:gridCol w:w="8280"/>
      </w:tblGrid>
      <w:tr>
        <w:trPr>
          <w:tblHeader/>
        </w:trPr>
        <w:tc>
          <w:tcPr>
            <w:tcW w:type="dxa" w:w="1944"/>
            <w:shd w:fill="17365D"/>
            <w:tcMar>
              <w:top w:w="75" w:type="dxa"/>
              <w:start w:w="100" w:type="dxa"/>
              <w:bottom w:w="75" w:type="dxa"/>
              <w:end w:w="100" w:type="dxa"/>
            </w:tcMar>
            <w:vAlign w:val="center"/>
          </w:tcPr>
          <w:p>
            <w:r>
              <w:rPr>
                <w:rFonts w:ascii="Calibri" w:hAnsi="Calibri" w:eastAsia="Microsoft YaHei"/>
                <w:b/>
                <w:color w:val="FFFFFF"/>
                <w:sz w:val="18"/>
              </w:rPr>
              <w:t>属性</w:t>
            </w:r>
          </w:p>
        </w:tc>
        <w:tc>
          <w:tcPr>
            <w:tcW w:type="dxa" w:w="8280"/>
            <w:shd w:fill="17365D"/>
            <w:tcMar>
              <w:top w:w="75" w:type="dxa"/>
              <w:start w:w="100" w:type="dxa"/>
              <w:bottom w:w="75" w:type="dxa"/>
              <w:end w:w="100" w:type="dxa"/>
            </w:tcMar>
            <w:vAlign w:val="center"/>
          </w:tcPr>
          <w:p>
            <w:r>
              <w:rPr>
                <w:rFonts w:ascii="Calibri" w:hAnsi="Calibri" w:eastAsia="Microsoft YaHei"/>
                <w:b/>
                <w:color w:val="FFFFFF"/>
                <w:sz w:val="18"/>
              </w:rPr>
              <w:t>内容</w:t>
            </w:r>
          </w:p>
        </w:tc>
      </w:tr>
      <w:tr>
        <w:trPr>
          <w:cantSplit/>
        </w:trPr>
        <w:tc>
          <w:tcPr>
            <w:tcW w:type="dxa" w:w="194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8"/>
              </w:rPr>
              <w:t>文档编号</w:t>
            </w:r>
          </w:p>
        </w:tc>
        <w:tc>
          <w:tcPr>
            <w:tcW w:type="dxa" w:w="8280"/>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8"/>
              </w:rPr>
              <w:t>OS-OPS-PRD-16</w:t>
            </w:r>
          </w:p>
        </w:tc>
      </w:tr>
      <w:tr>
        <w:trPr>
          <w:cantSplit/>
        </w:trPr>
        <w:tc>
          <w:tcPr>
            <w:tcW w:type="dxa" w:w="194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8"/>
              </w:rPr>
              <w:t>产品基线</w:t>
            </w:r>
          </w:p>
        </w:tc>
        <w:tc>
          <w:tcPr>
            <w:tcW w:type="dxa" w:w="8280"/>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8"/>
              </w:rPr>
              <w:t>AiwaBot产品原型 V3.2 与 OneStorage运营后台原型 V1.1</w:t>
            </w:r>
          </w:p>
        </w:tc>
      </w:tr>
      <w:tr>
        <w:trPr>
          <w:cantSplit/>
        </w:trPr>
        <w:tc>
          <w:tcPr>
            <w:tcW w:type="dxa" w:w="194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8"/>
              </w:rPr>
              <w:t>目标读者</w:t>
            </w:r>
          </w:p>
        </w:tc>
        <w:tc>
          <w:tcPr>
            <w:tcW w:type="dxa" w:w="8280"/>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8"/>
              </w:rPr>
              <w:t>产品、前端、后端、测试、数据、运营和实施</w:t>
            </w:r>
          </w:p>
        </w:tc>
      </w:tr>
      <w:tr>
        <w:trPr>
          <w:cantSplit/>
        </w:trPr>
        <w:tc>
          <w:tcPr>
            <w:tcW w:type="dxa" w:w="194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8"/>
              </w:rPr>
              <w:t>版本</w:t>
            </w:r>
          </w:p>
        </w:tc>
        <w:tc>
          <w:tcPr>
            <w:tcW w:type="dxa" w:w="8280"/>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8"/>
              </w:rPr>
              <w:t>V2.5  2026-09-09</w:t>
            </w:r>
          </w:p>
        </w:tc>
      </w:tr>
      <w:tr>
        <w:trPr>
          <w:cantSplit/>
        </w:trPr>
        <w:tc>
          <w:tcPr>
            <w:tcW w:type="dxa" w:w="194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8"/>
              </w:rPr>
              <w:t>优先级口径</w:t>
            </w:r>
          </w:p>
        </w:tc>
        <w:tc>
          <w:tcPr>
            <w:tcW w:type="dxa" w:w="8280"/>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8"/>
              </w:rPr>
              <w:t>P0为一期必须完成；P1须排期但不得阻塞P0主流程</w:t>
            </w:r>
          </w:p>
        </w:tc>
      </w:tr>
    </w:tbl>
    <w:p>
      <w:pPr>
        <w:spacing w:after="0"/>
      </w:pPr>
    </w:p>
    <w:p>
      <w:pPr>
        <w:pStyle w:val="Heading2"/>
      </w:pPr>
      <w:r>
        <w:t>1.1 原型界面依据</w:t>
      </w:r>
    </w:p>
    <w:p>
      <w:r>
        <w:t>本模块界面直接取自 AiwaBot产品原型-v3.2.html。真实截图及其与功能点的对应关系见第2.1节。</w:t>
      </w:r>
    </w:p>
    <w:p>
      <w:pPr>
        <w:pStyle w:val="Heading1"/>
      </w:pPr>
      <w:r>
        <w:t>2 用户角色与权限</w:t>
      </w:r>
    </w:p>
    <w:tbl>
      <w:tblPr>
        <w:tblStyle w:val="TableGrid"/>
        <w:tblW w:type="dxa" w:w="10224"/>
        <w:jc w:val="center"/>
        <w:tblLayout w:type="fixed"/>
        <w:tblLook w:firstColumn="1" w:firstRow="1" w:lastColumn="0" w:lastRow="0" w:noHBand="0" w:noVBand="1" w:val="04A0"/>
      </w:tblPr>
      <w:tblGrid>
        <w:gridCol w:w="1944"/>
        <w:gridCol w:w="2880"/>
        <w:gridCol w:w="5400"/>
      </w:tblGrid>
      <w:tr>
        <w:trPr>
          <w:tblHeader/>
        </w:trPr>
        <w:tc>
          <w:tcPr>
            <w:tcW w:type="dxa" w:w="1944"/>
            <w:shd w:fill="17365D"/>
            <w:tcMar>
              <w:top w:w="75" w:type="dxa"/>
              <w:start w:w="100" w:type="dxa"/>
              <w:bottom w:w="75" w:type="dxa"/>
              <w:end w:w="100" w:type="dxa"/>
            </w:tcMar>
            <w:vAlign w:val="center"/>
          </w:tcPr>
          <w:p>
            <w:r>
              <w:rPr>
                <w:rFonts w:ascii="Calibri" w:hAnsi="Calibri" w:eastAsia="Microsoft YaHei"/>
                <w:b/>
                <w:color w:val="FFFFFF"/>
                <w:sz w:val="17"/>
              </w:rPr>
              <w:t>角色</w:t>
            </w:r>
          </w:p>
        </w:tc>
        <w:tc>
          <w:tcPr>
            <w:tcW w:type="dxa" w:w="2880"/>
            <w:shd w:fill="17365D"/>
            <w:tcMar>
              <w:top w:w="75" w:type="dxa"/>
              <w:start w:w="100" w:type="dxa"/>
              <w:bottom w:w="75" w:type="dxa"/>
              <w:end w:w="100" w:type="dxa"/>
            </w:tcMar>
            <w:vAlign w:val="center"/>
          </w:tcPr>
          <w:p>
            <w:r>
              <w:rPr>
                <w:rFonts w:ascii="Calibri" w:hAnsi="Calibri" w:eastAsia="Microsoft YaHei"/>
                <w:b/>
                <w:color w:val="FFFFFF"/>
                <w:sz w:val="17"/>
              </w:rPr>
              <w:t>数据范围</w:t>
            </w:r>
          </w:p>
        </w:tc>
        <w:tc>
          <w:tcPr>
            <w:tcW w:type="dxa" w:w="5400"/>
            <w:shd w:fill="17365D"/>
            <w:tcMar>
              <w:top w:w="75" w:type="dxa"/>
              <w:start w:w="100" w:type="dxa"/>
              <w:bottom w:w="75" w:type="dxa"/>
              <w:end w:w="100" w:type="dxa"/>
            </w:tcMar>
            <w:vAlign w:val="center"/>
          </w:tcPr>
          <w:p>
            <w:r>
              <w:rPr>
                <w:rFonts w:ascii="Calibri" w:hAnsi="Calibri" w:eastAsia="Microsoft YaHei"/>
                <w:b/>
                <w:color w:val="FFFFFF"/>
                <w:sz w:val="17"/>
              </w:rPr>
              <w:t>主要权限</w:t>
            </w:r>
          </w:p>
        </w:tc>
      </w:tr>
      <w:tr>
        <w:trPr>
          <w:cantSplit/>
        </w:trPr>
        <w:tc>
          <w:tcPr>
            <w:tcW w:type="dxa" w:w="194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7"/>
              </w:rPr>
              <w:t>运营管理员</w:t>
            </w:r>
          </w:p>
        </w:tc>
        <w:tc>
          <w:tcPr>
            <w:tcW w:type="dxa" w:w="2880"/>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7"/>
              </w:rPr>
              <w:t>全部或获授权区域</w:t>
            </w:r>
          </w:p>
        </w:tc>
        <w:tc>
          <w:tcPr>
            <w:tcW w:type="dxa" w:w="5400"/>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7"/>
              </w:rPr>
              <w:t>查看、创建、编辑、分派、异常处理和导出</w:t>
            </w:r>
          </w:p>
        </w:tc>
      </w:tr>
      <w:tr>
        <w:trPr>
          <w:cantSplit/>
        </w:trPr>
        <w:tc>
          <w:tcPr>
            <w:tcW w:type="dxa" w:w="194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7"/>
              </w:rPr>
              <w:t>区域或门店负责人</w:t>
            </w:r>
          </w:p>
        </w:tc>
        <w:tc>
          <w:tcPr>
            <w:tcW w:type="dxa" w:w="2880"/>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7"/>
              </w:rPr>
              <w:t>所属区域或门店</w:t>
            </w:r>
          </w:p>
        </w:tc>
        <w:tc>
          <w:tcPr>
            <w:tcW w:type="dxa" w:w="5400"/>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7"/>
              </w:rPr>
              <w:t>查看、复核、分派及授权状态动作</w:t>
            </w:r>
          </w:p>
        </w:tc>
      </w:tr>
      <w:tr>
        <w:trPr>
          <w:cantSplit/>
        </w:trPr>
        <w:tc>
          <w:tcPr>
            <w:tcW w:type="dxa" w:w="194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7"/>
              </w:rPr>
              <w:t>业务执行人员</w:t>
            </w:r>
          </w:p>
        </w:tc>
        <w:tc>
          <w:tcPr>
            <w:tcW w:type="dxa" w:w="2880"/>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7"/>
              </w:rPr>
              <w:t>本人、团队及被分派对象</w:t>
            </w:r>
          </w:p>
        </w:tc>
        <w:tc>
          <w:tcPr>
            <w:tcW w:type="dxa" w:w="5400"/>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7"/>
              </w:rPr>
              <w:t>处理任务并填写业务结果</w:t>
            </w:r>
          </w:p>
        </w:tc>
      </w:tr>
      <w:tr>
        <w:trPr>
          <w:cantSplit/>
        </w:trPr>
        <w:tc>
          <w:tcPr>
            <w:tcW w:type="dxa" w:w="194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7"/>
              </w:rPr>
              <w:t>财务或审批人员</w:t>
            </w:r>
          </w:p>
        </w:tc>
        <w:tc>
          <w:tcPr>
            <w:tcW w:type="dxa" w:w="2880"/>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7"/>
              </w:rPr>
              <w:t>获授权组织</w:t>
            </w:r>
          </w:p>
        </w:tc>
        <w:tc>
          <w:tcPr>
            <w:tcW w:type="dxa" w:w="5400"/>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7"/>
              </w:rPr>
              <w:t>金额确认、审批、冲销和受控导出</w:t>
            </w:r>
          </w:p>
        </w:tc>
      </w:tr>
      <w:tr>
        <w:trPr>
          <w:cantSplit/>
        </w:trPr>
        <w:tc>
          <w:tcPr>
            <w:tcW w:type="dxa" w:w="194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7"/>
              </w:rPr>
              <w:t>系统集成主体</w:t>
            </w:r>
          </w:p>
        </w:tc>
        <w:tc>
          <w:tcPr>
            <w:tcW w:type="dxa" w:w="2880"/>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7"/>
              </w:rPr>
              <w:t>接口声明范围</w:t>
            </w:r>
          </w:p>
        </w:tc>
        <w:tc>
          <w:tcPr>
            <w:tcW w:type="dxa" w:w="5400"/>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7"/>
              </w:rPr>
              <w:t>按白名单调用；不可获得交互式管理员权限</w:t>
            </w:r>
          </w:p>
        </w:tc>
      </w:tr>
    </w:tbl>
    <w:p>
      <w:pPr>
        <w:spacing w:after="0"/>
      </w:pPr>
    </w:p>
    <w:p>
      <w:pPr>
        <w:pStyle w:val="Heading2"/>
      </w:pPr>
      <w:r>
        <w:t>2.1 界面与功能对应说明</w:t>
      </w:r>
    </w:p>
    <w:p>
      <w:r>
        <w:t>本节把原型中的真实界面与功能点逐一对应。截图用于确定页面区域、入口和交互位置；字段校验、状态变化和服务端处理以本PRD后续功能规格为准。</w:t>
      </w:r>
    </w:p>
    <w:p>
      <w:pPr>
        <w:jc w:val="center"/>
      </w:pPr>
      <w:r/>
    </w:p>
    <w:p>
      <w:pPr>
        <w:pStyle w:val="Caption"/>
        <w:jc w:val="center"/>
      </w:pPr>
      <w:r>
        <w:t>图 2-1  转仓管理列表与处理入口</w:t>
      </w:r>
    </w:p>
    <w:tbl>
      <w:tblPr>
        <w:tblStyle w:val="TableGrid"/>
        <w:tblW w:type="dxa" w:w="10224"/>
        <w:jc w:val="center"/>
        <w:tblLayout w:type="fixed"/>
        <w:tblLook w:firstColumn="1" w:firstRow="1" w:lastColumn="0" w:lastRow="0" w:noHBand="0" w:noVBand="1" w:val="04A0"/>
      </w:tblPr>
      <w:tblGrid>
        <w:gridCol w:w="1944"/>
        <w:gridCol w:w="8280"/>
      </w:tblGrid>
      <w:tr>
        <w:trPr>
          <w:tblHeader/>
        </w:trPr>
        <w:tc>
          <w:tcPr>
            <w:tcW w:type="dxa" w:w="1944"/>
            <w:shd w:fill="17365D"/>
            <w:tcMar>
              <w:top w:w="75" w:type="dxa"/>
              <w:start w:w="100" w:type="dxa"/>
              <w:bottom w:w="75" w:type="dxa"/>
              <w:end w:w="100" w:type="dxa"/>
            </w:tcMar>
            <w:vAlign w:val="center"/>
          </w:tcPr>
          <w:p>
            <w:r>
              <w:rPr>
                <w:rFonts w:ascii="Calibri" w:hAnsi="Calibri" w:eastAsia="Microsoft YaHei"/>
                <w:b/>
                <w:color w:val="FFFFFF"/>
                <w:sz w:val="16"/>
              </w:rPr>
              <w:t>说明项</w:t>
            </w:r>
          </w:p>
        </w:tc>
        <w:tc>
          <w:tcPr>
            <w:tcW w:type="dxa" w:w="8280"/>
            <w:shd w:fill="17365D"/>
            <w:tcMar>
              <w:top w:w="75" w:type="dxa"/>
              <w:start w:w="100" w:type="dxa"/>
              <w:bottom w:w="75" w:type="dxa"/>
              <w:end w:w="100" w:type="dxa"/>
            </w:tcMar>
            <w:vAlign w:val="center"/>
          </w:tcPr>
          <w:p>
            <w:r>
              <w:rPr>
                <w:rFonts w:ascii="Calibri" w:hAnsi="Calibri" w:eastAsia="Microsoft YaHei"/>
                <w:b/>
                <w:color w:val="FFFFFF"/>
                <w:sz w:val="16"/>
              </w:rPr>
              <w:t>界面辅助说明</w:t>
            </w:r>
          </w:p>
        </w:tc>
      </w:tr>
      <w:tr>
        <w:trPr>
          <w:cantSplit/>
        </w:trPr>
        <w:tc>
          <w:tcPr>
            <w:tcW w:type="dxa" w:w="194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对应功能点</w:t>
            </w:r>
          </w:p>
        </w:tc>
        <w:tc>
          <w:tcPr>
            <w:tcW w:type="dxa" w:w="8280"/>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OS-OPS-PRD-16-FP02 计算差价</w:t>
            </w:r>
          </w:p>
        </w:tc>
      </w:tr>
      <w:tr>
        <w:trPr>
          <w:cantSplit/>
        </w:trPr>
        <w:tc>
          <w:tcPr>
            <w:tcW w:type="dxa" w:w="194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页面区域</w:t>
            </w:r>
          </w:p>
        </w:tc>
        <w:tc>
          <w:tcPr>
            <w:tcW w:type="dxa" w:w="8280"/>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转仓管理列表与处理入口由查询条件、结果列表、状态标识、行级操作和分页区组成。</w:t>
            </w:r>
          </w:p>
        </w:tc>
      </w:tr>
      <w:tr>
        <w:trPr>
          <w:cantSplit/>
        </w:trPr>
        <w:tc>
          <w:tcPr>
            <w:tcW w:type="dxa" w:w="194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交互要求</w:t>
            </w:r>
          </w:p>
        </w:tc>
        <w:tc>
          <w:tcPr>
            <w:tcW w:type="dxa" w:w="8280"/>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查询条件可组合、重置并在返回时保留；列表与导出共用同一数据范围；按钮依据权限、状态和当前允许操作显示。</w:t>
            </w:r>
          </w:p>
        </w:tc>
      </w:tr>
      <w:tr>
        <w:trPr>
          <w:cantSplit/>
        </w:trPr>
        <w:tc>
          <w:tcPr>
            <w:tcW w:type="dxa" w:w="194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状态与权限</w:t>
            </w:r>
          </w:p>
        </w:tc>
        <w:tc>
          <w:tcPr>
            <w:tcW w:type="dxa" w:w="8280"/>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所有行级和详情动作由当前允许操作控制；无权限时隐藏入口，直接调用接口仍返回403并记录审计。</w:t>
            </w:r>
          </w:p>
        </w:tc>
      </w:tr>
    </w:tbl>
    <w:p>
      <w:pPr>
        <w:spacing w:after="0"/>
      </w:pPr>
    </w:p>
    <w:p>
      <w:pPr>
        <w:jc w:val="center"/>
      </w:pPr>
      <w:r/>
    </w:p>
    <w:p>
      <w:pPr>
        <w:pStyle w:val="Caption"/>
        <w:jc w:val="center"/>
      </w:pPr>
      <w:r>
        <w:t>图 2-2  新增转仓申请表单</w:t>
      </w:r>
    </w:p>
    <w:tbl>
      <w:tblPr>
        <w:tblStyle w:val="TableGrid"/>
        <w:tblW w:type="dxa" w:w="10224"/>
        <w:jc w:val="center"/>
        <w:tblLayout w:type="fixed"/>
        <w:tblLook w:firstColumn="1" w:firstRow="1" w:lastColumn="0" w:lastRow="0" w:noHBand="0" w:noVBand="1" w:val="04A0"/>
      </w:tblPr>
      <w:tblGrid>
        <w:gridCol w:w="1944"/>
        <w:gridCol w:w="8280"/>
      </w:tblGrid>
      <w:tr>
        <w:trPr>
          <w:tblHeader/>
        </w:trPr>
        <w:tc>
          <w:tcPr>
            <w:tcW w:type="dxa" w:w="1944"/>
            <w:shd w:fill="17365D"/>
            <w:tcMar>
              <w:top w:w="75" w:type="dxa"/>
              <w:start w:w="100" w:type="dxa"/>
              <w:bottom w:w="75" w:type="dxa"/>
              <w:end w:w="100" w:type="dxa"/>
            </w:tcMar>
            <w:vAlign w:val="center"/>
          </w:tcPr>
          <w:p>
            <w:r>
              <w:rPr>
                <w:rFonts w:ascii="Calibri" w:hAnsi="Calibri" w:eastAsia="Microsoft YaHei"/>
                <w:b/>
                <w:color w:val="FFFFFF"/>
                <w:sz w:val="16"/>
              </w:rPr>
              <w:t>说明项</w:t>
            </w:r>
          </w:p>
        </w:tc>
        <w:tc>
          <w:tcPr>
            <w:tcW w:type="dxa" w:w="8280"/>
            <w:shd w:fill="17365D"/>
            <w:tcMar>
              <w:top w:w="75" w:type="dxa"/>
              <w:start w:w="100" w:type="dxa"/>
              <w:bottom w:w="75" w:type="dxa"/>
              <w:end w:w="100" w:type="dxa"/>
            </w:tcMar>
            <w:vAlign w:val="center"/>
          </w:tcPr>
          <w:p>
            <w:r>
              <w:rPr>
                <w:rFonts w:ascii="Calibri" w:hAnsi="Calibri" w:eastAsia="Microsoft YaHei"/>
                <w:b/>
                <w:color w:val="FFFFFF"/>
                <w:sz w:val="16"/>
              </w:rPr>
              <w:t>界面辅助说明</w:t>
            </w:r>
          </w:p>
        </w:tc>
      </w:tr>
      <w:tr>
        <w:trPr>
          <w:cantSplit/>
        </w:trPr>
        <w:tc>
          <w:tcPr>
            <w:tcW w:type="dxa" w:w="194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对应功能点</w:t>
            </w:r>
          </w:p>
        </w:tc>
        <w:tc>
          <w:tcPr>
            <w:tcW w:type="dxa" w:w="8280"/>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OS-OPS-PRD-16-FP01 新增转仓；OS-OPS-PRD-16-FP03 生成新订单</w:t>
            </w:r>
          </w:p>
        </w:tc>
      </w:tr>
      <w:tr>
        <w:trPr>
          <w:cantSplit/>
        </w:trPr>
        <w:tc>
          <w:tcPr>
            <w:tcW w:type="dxa" w:w="194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页面区域</w:t>
            </w:r>
          </w:p>
        </w:tc>
        <w:tc>
          <w:tcPr>
            <w:tcW w:type="dxa" w:w="8280"/>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新增界面按业务分组展示表单字段、关联对象选择、保存与取消操作。</w:t>
            </w:r>
          </w:p>
        </w:tc>
      </w:tr>
      <w:tr>
        <w:trPr>
          <w:cantSplit/>
        </w:trPr>
        <w:tc>
          <w:tcPr>
            <w:tcW w:type="dxa" w:w="194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交互要求</w:t>
            </w:r>
          </w:p>
        </w:tc>
        <w:tc>
          <w:tcPr>
            <w:tcW w:type="dxa" w:w="8280"/>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必填和格式错误在字段下方提示；关联对象实时校验；保存期间按钮防重复，关闭已修改表单需二次确认。</w:t>
            </w:r>
          </w:p>
        </w:tc>
      </w:tr>
      <w:tr>
        <w:trPr>
          <w:cantSplit/>
        </w:trPr>
        <w:tc>
          <w:tcPr>
            <w:tcW w:type="dxa" w:w="194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状态与权限</w:t>
            </w:r>
          </w:p>
        </w:tc>
        <w:tc>
          <w:tcPr>
            <w:tcW w:type="dxa" w:w="8280"/>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所有行级和详情动作由当前允许操作控制；无权限时隐藏入口，直接调用接口仍返回403并记录审计。</w:t>
            </w:r>
          </w:p>
        </w:tc>
      </w:tr>
    </w:tbl>
    <w:p>
      <w:pPr>
        <w:spacing w:after="0"/>
      </w:pPr>
    </w:p>
    <w:p>
      <w:pPr>
        <w:jc w:val="center"/>
      </w:pPr>
      <w:r/>
    </w:p>
    <w:p>
      <w:pPr>
        <w:pStyle w:val="Caption"/>
        <w:jc w:val="center"/>
      </w:pPr>
      <w:r>
        <w:t>图 2-3  转仓申请详情与审核处理界面</w:t>
      </w:r>
    </w:p>
    <w:tbl>
      <w:tblPr>
        <w:tblStyle w:val="TableGrid"/>
        <w:tblW w:type="dxa" w:w="10224"/>
        <w:jc w:val="center"/>
        <w:tblLayout w:type="fixed"/>
        <w:tblLook w:firstColumn="1" w:firstRow="1" w:lastColumn="0" w:lastRow="0" w:noHBand="0" w:noVBand="1" w:val="04A0"/>
      </w:tblPr>
      <w:tblGrid>
        <w:gridCol w:w="1944"/>
        <w:gridCol w:w="8280"/>
      </w:tblGrid>
      <w:tr>
        <w:trPr>
          <w:tblHeader/>
        </w:trPr>
        <w:tc>
          <w:tcPr>
            <w:tcW w:type="dxa" w:w="1944"/>
            <w:shd w:fill="17365D"/>
            <w:tcMar>
              <w:top w:w="75" w:type="dxa"/>
              <w:start w:w="100" w:type="dxa"/>
              <w:bottom w:w="75" w:type="dxa"/>
              <w:end w:w="100" w:type="dxa"/>
            </w:tcMar>
            <w:vAlign w:val="center"/>
          </w:tcPr>
          <w:p>
            <w:r>
              <w:rPr>
                <w:rFonts w:ascii="Calibri" w:hAnsi="Calibri" w:eastAsia="Microsoft YaHei"/>
                <w:b/>
                <w:color w:val="FFFFFF"/>
                <w:sz w:val="16"/>
              </w:rPr>
              <w:t>说明项</w:t>
            </w:r>
          </w:p>
        </w:tc>
        <w:tc>
          <w:tcPr>
            <w:tcW w:type="dxa" w:w="8280"/>
            <w:shd w:fill="17365D"/>
            <w:tcMar>
              <w:top w:w="75" w:type="dxa"/>
              <w:start w:w="100" w:type="dxa"/>
              <w:bottom w:w="75" w:type="dxa"/>
              <w:end w:w="100" w:type="dxa"/>
            </w:tcMar>
            <w:vAlign w:val="center"/>
          </w:tcPr>
          <w:p>
            <w:r>
              <w:rPr>
                <w:rFonts w:ascii="Calibri" w:hAnsi="Calibri" w:eastAsia="Microsoft YaHei"/>
                <w:b/>
                <w:color w:val="FFFFFF"/>
                <w:sz w:val="16"/>
              </w:rPr>
              <w:t>界面辅助说明</w:t>
            </w:r>
          </w:p>
        </w:tc>
      </w:tr>
      <w:tr>
        <w:trPr>
          <w:cantSplit/>
        </w:trPr>
        <w:tc>
          <w:tcPr>
            <w:tcW w:type="dxa" w:w="194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对应功能点</w:t>
            </w:r>
          </w:p>
        </w:tc>
        <w:tc>
          <w:tcPr>
            <w:tcW w:type="dxa" w:w="8280"/>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OS-OPS-PRD-16-FP04 完成交接；OS-OPS-PRD-16-FP05 取消</w:t>
            </w:r>
          </w:p>
        </w:tc>
      </w:tr>
      <w:tr>
        <w:trPr>
          <w:cantSplit/>
        </w:trPr>
        <w:tc>
          <w:tcPr>
            <w:tcW w:type="dxa" w:w="194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页面区域</w:t>
            </w:r>
          </w:p>
        </w:tc>
        <w:tc>
          <w:tcPr>
            <w:tcW w:type="dxa" w:w="8280"/>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处理界面展示对象摘要、当前状态、流程节点、执行字段、处理记录以及下一步动作。</w:t>
            </w:r>
          </w:p>
        </w:tc>
      </w:tr>
      <w:tr>
        <w:trPr>
          <w:cantSplit/>
        </w:trPr>
        <w:tc>
          <w:tcPr>
            <w:tcW w:type="dxa" w:w="194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交互要求</w:t>
            </w:r>
          </w:p>
        </w:tc>
        <w:tc>
          <w:tcPr>
            <w:tcW w:type="dxa" w:w="8280"/>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动作只在当前状态允许时可用；提交时携带预期数据版本，成功后回源刷新状态、时间线、SLA和当前允许操作。</w:t>
            </w:r>
          </w:p>
        </w:tc>
      </w:tr>
      <w:tr>
        <w:trPr>
          <w:cantSplit/>
        </w:trPr>
        <w:tc>
          <w:tcPr>
            <w:tcW w:type="dxa" w:w="194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状态与权限</w:t>
            </w:r>
          </w:p>
        </w:tc>
        <w:tc>
          <w:tcPr>
            <w:tcW w:type="dxa" w:w="8280"/>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所有行级和详情动作由当前允许操作控制；无权限时隐藏入口，直接调用接口仍返回403并记录审计。</w:t>
            </w:r>
          </w:p>
        </w:tc>
      </w:tr>
    </w:tbl>
    <w:p>
      <w:pPr>
        <w:spacing w:after="0"/>
      </w:pPr>
    </w:p>
    <w:p>
      <w:pPr>
        <w:pStyle w:val="Heading1"/>
      </w:pPr>
      <w:r>
        <w:t>3 页面结构与查询</w:t>
      </w:r>
    </w:p>
    <w:p>
      <w:pPr>
        <w:pStyle w:val="Heading2"/>
      </w:pPr>
      <w:r>
        <w:t>3.2 筛选与列表行为</w:t>
      </w:r>
    </w:p>
    <w:tbl>
      <w:tblPr>
        <w:tblStyle w:val="TableGrid"/>
        <w:tblW w:type="dxa" w:w="10224"/>
        <w:jc w:val="center"/>
        <w:tblLayout w:type="fixed"/>
        <w:tblLook w:firstColumn="1" w:firstRow="1" w:lastColumn="0" w:lastRow="0" w:noHBand="0" w:noVBand="1" w:val="04A0"/>
      </w:tblPr>
      <w:tblGrid>
        <w:gridCol w:w="3312"/>
        <w:gridCol w:w="6912"/>
      </w:tblGrid>
      <w:tr>
        <w:trPr>
          <w:tblHeader/>
        </w:trPr>
        <w:tc>
          <w:tcPr>
            <w:tcW w:type="dxa" w:w="3312"/>
            <w:shd w:fill="17365D"/>
            <w:tcMar>
              <w:top w:w="75" w:type="dxa"/>
              <w:start w:w="100" w:type="dxa"/>
              <w:bottom w:w="75" w:type="dxa"/>
              <w:end w:w="100" w:type="dxa"/>
            </w:tcMar>
            <w:vAlign w:val="center"/>
          </w:tcPr>
          <w:p>
            <w:r>
              <w:rPr>
                <w:rFonts w:ascii="Calibri" w:hAnsi="Calibri" w:eastAsia="Microsoft YaHei"/>
                <w:b/>
                <w:color w:val="FFFFFF"/>
                <w:sz w:val="17"/>
              </w:rPr>
              <w:t>筛选项</w:t>
            </w:r>
          </w:p>
        </w:tc>
        <w:tc>
          <w:tcPr>
            <w:tcW w:type="dxa" w:w="6912"/>
            <w:shd w:fill="17365D"/>
            <w:tcMar>
              <w:top w:w="75" w:type="dxa"/>
              <w:start w:w="100" w:type="dxa"/>
              <w:bottom w:w="75" w:type="dxa"/>
              <w:end w:w="100" w:type="dxa"/>
            </w:tcMar>
            <w:vAlign w:val="center"/>
          </w:tcPr>
          <w:p>
            <w:r>
              <w:rPr>
                <w:rFonts w:ascii="Calibri" w:hAnsi="Calibri" w:eastAsia="Microsoft YaHei"/>
                <w:b/>
                <w:color w:val="FFFFFF"/>
                <w:sz w:val="17"/>
              </w:rPr>
              <w:t>交互与校验</w:t>
            </w:r>
          </w:p>
        </w:tc>
      </w:tr>
      <w:tr>
        <w:trPr>
          <w:cantSplit/>
        </w:trPr>
        <w:tc>
          <w:tcPr>
            <w:tcW w:type="dxa" w:w="3312"/>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7"/>
              </w:rPr>
              <w:t>转仓编号、客户、旧仓或新仓</w:t>
            </w:r>
          </w:p>
        </w:tc>
        <w:tc>
          <w:tcPr>
            <w:tcW w:type="dxa" w:w="6912"/>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7"/>
              </w:rPr>
              <w:t>支持单项或组合查询；点击重置恢复默认；返回列表时保留本次会话条件。</w:t>
            </w:r>
          </w:p>
        </w:tc>
      </w:tr>
      <w:tr>
        <w:trPr>
          <w:cantSplit/>
        </w:trPr>
        <w:tc>
          <w:tcPr>
            <w:tcW w:type="dxa" w:w="3312"/>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7"/>
              </w:rPr>
              <w:t>店铺</w:t>
            </w:r>
          </w:p>
        </w:tc>
        <w:tc>
          <w:tcPr>
            <w:tcW w:type="dxa" w:w="6912"/>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7"/>
              </w:rPr>
              <w:t>支持单项或组合查询；点击重置恢复默认；返回列表时保留本次会话条件。</w:t>
            </w:r>
          </w:p>
        </w:tc>
      </w:tr>
      <w:tr>
        <w:trPr>
          <w:cantSplit/>
        </w:trPr>
        <w:tc>
          <w:tcPr>
            <w:tcW w:type="dxa" w:w="3312"/>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7"/>
              </w:rPr>
              <w:t>转仓日期</w:t>
            </w:r>
          </w:p>
        </w:tc>
        <w:tc>
          <w:tcPr>
            <w:tcW w:type="dxa" w:w="6912"/>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7"/>
              </w:rPr>
              <w:t>支持单项或组合查询；点击重置恢复默认；返回列表时保留本次会话条件。</w:t>
            </w:r>
          </w:p>
        </w:tc>
      </w:tr>
      <w:tr>
        <w:trPr>
          <w:cantSplit/>
        </w:trPr>
        <w:tc>
          <w:tcPr>
            <w:tcW w:type="dxa" w:w="3312"/>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7"/>
              </w:rPr>
              <w:t>处理状态</w:t>
            </w:r>
          </w:p>
        </w:tc>
        <w:tc>
          <w:tcPr>
            <w:tcW w:type="dxa" w:w="6912"/>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7"/>
              </w:rPr>
              <w:t>支持单项或组合查询；点击重置恢复默认；返回列表时保留本次会话条件。</w:t>
            </w:r>
          </w:p>
        </w:tc>
      </w:tr>
      <w:tr>
        <w:trPr>
          <w:cantSplit/>
        </w:trPr>
        <w:tc>
          <w:tcPr>
            <w:tcW w:type="dxa" w:w="3312"/>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7"/>
              </w:rPr>
              <w:t>负责人</w:t>
            </w:r>
          </w:p>
        </w:tc>
        <w:tc>
          <w:tcPr>
            <w:tcW w:type="dxa" w:w="6912"/>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7"/>
              </w:rPr>
              <w:t>支持单项或组合查询；点击重置恢复默认；返回列表时保留本次会话条件。</w:t>
            </w:r>
          </w:p>
        </w:tc>
      </w:tr>
    </w:tbl>
    <w:p>
      <w:pPr>
        <w:spacing w:after="0"/>
      </w:pPr>
    </w:p>
    <w:p>
      <w:pPr>
        <w:pStyle w:val="ListBullet"/>
      </w:pPr>
      <w:r>
        <w:t>默认按最近更新时间倒序；用户主动排序后记录字段和方向</w:t>
      </w:r>
    </w:p>
    <w:p>
      <w:pPr>
        <w:pStyle w:val="ListBullet"/>
      </w:pPr>
      <w:r>
        <w:t>分页支持10、20、50、100条；切换每页条数回到第1页</w:t>
      </w:r>
    </w:p>
    <w:p>
      <w:pPr>
        <w:pStyle w:val="ListBullet"/>
      </w:pPr>
      <w:r>
        <w:t>加载中显示骨架或加载态；空结果区分无数据和筛选无结果</w:t>
      </w:r>
    </w:p>
    <w:p>
      <w:pPr>
        <w:pStyle w:val="ListBullet"/>
      </w:pPr>
      <w:r>
        <w:t>查询失败保留筛选条件并提供重试；不得用旧数据冒充最新结果</w:t>
      </w:r>
    </w:p>
    <w:p>
      <w:pPr>
        <w:pStyle w:val="Heading1"/>
      </w:pPr>
      <w:r>
        <w:t>4 列表字段规格</w:t>
      </w:r>
    </w:p>
    <w:tbl>
      <w:tblPr>
        <w:tblStyle w:val="TableGrid"/>
        <w:tblW w:type="dxa" w:w="10224"/>
        <w:jc w:val="center"/>
        <w:tblLayout w:type="fixed"/>
        <w:tblLook w:firstColumn="1" w:firstRow="1" w:lastColumn="0" w:lastRow="0" w:noHBand="0" w:noVBand="1" w:val="04A0"/>
      </w:tblPr>
      <w:tblGrid>
        <w:gridCol w:w="1656"/>
        <w:gridCol w:w="1944"/>
        <w:gridCol w:w="2160"/>
        <w:gridCol w:w="4464"/>
      </w:tblGrid>
      <w:tr>
        <w:trPr>
          <w:tblHeader/>
        </w:trPr>
        <w:tc>
          <w:tcPr>
            <w:tcW w:type="dxa" w:w="1656"/>
            <w:shd w:fill="17365D"/>
            <w:tcMar>
              <w:top w:w="75" w:type="dxa"/>
              <w:start w:w="100" w:type="dxa"/>
              <w:bottom w:w="75" w:type="dxa"/>
              <w:end w:w="100" w:type="dxa"/>
            </w:tcMar>
            <w:vAlign w:val="center"/>
          </w:tcPr>
          <w:p>
            <w:r>
              <w:rPr>
                <w:rFonts w:ascii="Calibri" w:hAnsi="Calibri" w:eastAsia="Microsoft YaHei"/>
                <w:b/>
                <w:color w:val="FFFFFF"/>
                <w:sz w:val="16"/>
              </w:rPr>
              <w:t>字段ID</w:t>
            </w:r>
          </w:p>
        </w:tc>
        <w:tc>
          <w:tcPr>
            <w:tcW w:type="dxa" w:w="1944"/>
            <w:shd w:fill="17365D"/>
            <w:tcMar>
              <w:top w:w="75" w:type="dxa"/>
              <w:start w:w="100" w:type="dxa"/>
              <w:bottom w:w="75" w:type="dxa"/>
              <w:end w:w="100" w:type="dxa"/>
            </w:tcMar>
            <w:vAlign w:val="center"/>
          </w:tcPr>
          <w:p>
            <w:r>
              <w:rPr>
                <w:rFonts w:ascii="Calibri" w:hAnsi="Calibri" w:eastAsia="Microsoft YaHei"/>
                <w:b/>
                <w:color w:val="FFFFFF"/>
                <w:sz w:val="16"/>
              </w:rPr>
              <w:t>字段</w:t>
            </w:r>
          </w:p>
        </w:tc>
        <w:tc>
          <w:tcPr>
            <w:tcW w:type="dxa" w:w="2160"/>
            <w:shd w:fill="17365D"/>
            <w:tcMar>
              <w:top w:w="75" w:type="dxa"/>
              <w:start w:w="100" w:type="dxa"/>
              <w:bottom w:w="75" w:type="dxa"/>
              <w:end w:w="100" w:type="dxa"/>
            </w:tcMar>
            <w:vAlign w:val="center"/>
          </w:tcPr>
          <w:p>
            <w:r>
              <w:rPr>
                <w:rFonts w:ascii="Calibri" w:hAnsi="Calibri" w:eastAsia="Microsoft YaHei"/>
                <w:b/>
                <w:color w:val="FFFFFF"/>
                <w:sz w:val="16"/>
              </w:rPr>
              <w:t>来源</w:t>
            </w:r>
          </w:p>
        </w:tc>
        <w:tc>
          <w:tcPr>
            <w:tcW w:type="dxa" w:w="4464"/>
            <w:shd w:fill="17365D"/>
            <w:tcMar>
              <w:top w:w="75" w:type="dxa"/>
              <w:start w:w="100" w:type="dxa"/>
              <w:bottom w:w="75" w:type="dxa"/>
              <w:end w:w="100" w:type="dxa"/>
            </w:tcMar>
            <w:vAlign w:val="center"/>
          </w:tcPr>
          <w:p>
            <w:r>
              <w:rPr>
                <w:rFonts w:ascii="Calibri" w:hAnsi="Calibri" w:eastAsia="Microsoft YaHei"/>
                <w:b/>
                <w:color w:val="FFFFFF"/>
                <w:sz w:val="16"/>
              </w:rPr>
              <w:t>展示与交互规则</w:t>
            </w:r>
          </w:p>
        </w:tc>
      </w:tr>
      <w:tr>
        <w:trPr>
          <w:cantSplit/>
        </w:trPr>
        <w:tc>
          <w:tcPr>
            <w:tcW w:type="dxa" w:w="1656"/>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OS-OPS-PRD-16-L01</w:t>
            </w:r>
          </w:p>
        </w:tc>
        <w:tc>
          <w:tcPr>
            <w:tcW w:type="dxa" w:w="194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转仓编号</w:t>
            </w:r>
          </w:p>
        </w:tc>
        <w:tc>
          <w:tcPr>
            <w:tcW w:type="dxa" w:w="2160"/>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服务端主键或业务编号</w:t>
            </w:r>
          </w:p>
        </w:tc>
        <w:tc>
          <w:tcPr>
            <w:tcW w:type="dxa" w:w="446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完整展示并支持复制；唯一且不可使用展示名称代替。</w:t>
            </w:r>
          </w:p>
        </w:tc>
      </w:tr>
      <w:tr>
        <w:trPr>
          <w:cantSplit/>
        </w:trPr>
        <w:tc>
          <w:tcPr>
            <w:tcW w:type="dxa" w:w="1656"/>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OS-OPS-PRD-16-L02</w:t>
            </w:r>
          </w:p>
        </w:tc>
        <w:tc>
          <w:tcPr>
            <w:tcW w:type="dxa" w:w="194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旧仓发票</w:t>
            </w:r>
          </w:p>
        </w:tc>
        <w:tc>
          <w:tcPr>
            <w:tcW w:type="dxa" w:w="2160"/>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业务主域</w:t>
            </w:r>
          </w:p>
        </w:tc>
        <w:tc>
          <w:tcPr>
            <w:tcW w:type="dxa" w:w="446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详情与导出保持一致；空值显示—，不使用模拟值补齐。</w:t>
            </w:r>
          </w:p>
        </w:tc>
      </w:tr>
      <w:tr>
        <w:trPr>
          <w:cantSplit/>
        </w:trPr>
        <w:tc>
          <w:tcPr>
            <w:tcW w:type="dxa" w:w="1656"/>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OS-OPS-PRD-16-L03</w:t>
            </w:r>
          </w:p>
        </w:tc>
        <w:tc>
          <w:tcPr>
            <w:tcW w:type="dxa" w:w="194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仓由</w:t>
            </w:r>
          </w:p>
        </w:tc>
        <w:tc>
          <w:tcPr>
            <w:tcW w:type="dxa" w:w="2160"/>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业务主域</w:t>
            </w:r>
          </w:p>
        </w:tc>
        <w:tc>
          <w:tcPr>
            <w:tcW w:type="dxa" w:w="446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详情与导出保持一致；空值显示—，不使用模拟值补齐。</w:t>
            </w:r>
          </w:p>
        </w:tc>
      </w:tr>
      <w:tr>
        <w:trPr>
          <w:cantSplit/>
        </w:trPr>
        <w:tc>
          <w:tcPr>
            <w:tcW w:type="dxa" w:w="1656"/>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OS-OPS-PRD-16-L04</w:t>
            </w:r>
          </w:p>
        </w:tc>
        <w:tc>
          <w:tcPr>
            <w:tcW w:type="dxa" w:w="194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仓至</w:t>
            </w:r>
          </w:p>
        </w:tc>
        <w:tc>
          <w:tcPr>
            <w:tcW w:type="dxa" w:w="2160"/>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业务主域</w:t>
            </w:r>
          </w:p>
        </w:tc>
        <w:tc>
          <w:tcPr>
            <w:tcW w:type="dxa" w:w="446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详情与导出保持一致；空值显示—，不使用模拟值补齐。</w:t>
            </w:r>
          </w:p>
        </w:tc>
      </w:tr>
      <w:tr>
        <w:trPr>
          <w:cantSplit/>
        </w:trPr>
        <w:tc>
          <w:tcPr>
            <w:tcW w:type="dxa" w:w="1656"/>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OS-OPS-PRD-16-L05</w:t>
            </w:r>
          </w:p>
        </w:tc>
        <w:tc>
          <w:tcPr>
            <w:tcW w:type="dxa" w:w="194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转仓日期</w:t>
            </w:r>
          </w:p>
        </w:tc>
        <w:tc>
          <w:tcPr>
            <w:tcW w:type="dxa" w:w="2160"/>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服务端时间</w:t>
            </w:r>
          </w:p>
        </w:tc>
        <w:tc>
          <w:tcPr>
            <w:tcW w:type="dxa" w:w="446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按香港时间显示；空值显示—，排序使用原始时间。</w:t>
            </w:r>
          </w:p>
        </w:tc>
      </w:tr>
      <w:tr>
        <w:trPr>
          <w:cantSplit/>
        </w:trPr>
        <w:tc>
          <w:tcPr>
            <w:tcW w:type="dxa" w:w="1656"/>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OS-OPS-PRD-16-L06</w:t>
            </w:r>
          </w:p>
        </w:tc>
        <w:tc>
          <w:tcPr>
            <w:tcW w:type="dxa" w:w="194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新销售订单</w:t>
            </w:r>
          </w:p>
        </w:tc>
        <w:tc>
          <w:tcPr>
            <w:tcW w:type="dxa" w:w="2160"/>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业务主域</w:t>
            </w:r>
          </w:p>
        </w:tc>
        <w:tc>
          <w:tcPr>
            <w:tcW w:type="dxa" w:w="446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详情与导出保持一致；空值显示—，不使用模拟值补齐。</w:t>
            </w:r>
          </w:p>
        </w:tc>
      </w:tr>
      <w:tr>
        <w:trPr>
          <w:cantSplit/>
        </w:trPr>
        <w:tc>
          <w:tcPr>
            <w:tcW w:type="dxa" w:w="1656"/>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OS-OPS-PRD-16-L07</w:t>
            </w:r>
          </w:p>
        </w:tc>
        <w:tc>
          <w:tcPr>
            <w:tcW w:type="dxa" w:w="194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旧单退租</w:t>
            </w:r>
          </w:p>
        </w:tc>
        <w:tc>
          <w:tcPr>
            <w:tcW w:type="dxa" w:w="2160"/>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业务主域</w:t>
            </w:r>
          </w:p>
        </w:tc>
        <w:tc>
          <w:tcPr>
            <w:tcW w:type="dxa" w:w="446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详情与导出保持一致；空值显示—，不使用模拟值补齐。</w:t>
            </w:r>
          </w:p>
        </w:tc>
      </w:tr>
      <w:tr>
        <w:trPr>
          <w:cantSplit/>
        </w:trPr>
        <w:tc>
          <w:tcPr>
            <w:tcW w:type="dxa" w:w="1656"/>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OS-OPS-PRD-16-L08</w:t>
            </w:r>
          </w:p>
        </w:tc>
        <w:tc>
          <w:tcPr>
            <w:tcW w:type="dxa" w:w="194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产生新销售订单</w:t>
            </w:r>
          </w:p>
        </w:tc>
        <w:tc>
          <w:tcPr>
            <w:tcW w:type="dxa" w:w="2160"/>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业务主域</w:t>
            </w:r>
          </w:p>
        </w:tc>
        <w:tc>
          <w:tcPr>
            <w:tcW w:type="dxa" w:w="446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详情与导出保持一致；空值显示—，不使用模拟值补齐。</w:t>
            </w:r>
          </w:p>
        </w:tc>
      </w:tr>
      <w:tr>
        <w:trPr>
          <w:cantSplit/>
        </w:trPr>
        <w:tc>
          <w:tcPr>
            <w:tcW w:type="dxa" w:w="1656"/>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OS-OPS-PRD-16-L09</w:t>
            </w:r>
          </w:p>
        </w:tc>
        <w:tc>
          <w:tcPr>
            <w:tcW w:type="dxa" w:w="194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备注</w:t>
            </w:r>
          </w:p>
        </w:tc>
        <w:tc>
          <w:tcPr>
            <w:tcW w:type="dxa" w:w="2160"/>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业务主域</w:t>
            </w:r>
          </w:p>
        </w:tc>
        <w:tc>
          <w:tcPr>
            <w:tcW w:type="dxa" w:w="446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详情与导出保持一致；空值显示—，不使用模拟值补齐。</w:t>
            </w:r>
          </w:p>
        </w:tc>
      </w:tr>
      <w:tr>
        <w:trPr>
          <w:cantSplit/>
        </w:trPr>
        <w:tc>
          <w:tcPr>
            <w:tcW w:type="dxa" w:w="1656"/>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OS-OPS-PRD-16-L10</w:t>
            </w:r>
          </w:p>
        </w:tc>
        <w:tc>
          <w:tcPr>
            <w:tcW w:type="dxa" w:w="194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操作</w:t>
            </w:r>
          </w:p>
        </w:tc>
        <w:tc>
          <w:tcPr>
            <w:tcW w:type="dxa" w:w="2160"/>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服务端/关联主数据</w:t>
            </w:r>
          </w:p>
        </w:tc>
        <w:tc>
          <w:tcPr>
            <w:tcW w:type="dxa" w:w="446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根据当前允许操作显示查看、编辑及状态动作；后端再次鉴权。</w:t>
            </w:r>
          </w:p>
        </w:tc>
      </w:tr>
    </w:tbl>
    <w:p>
      <w:pPr>
        <w:spacing w:after="0"/>
      </w:pPr>
    </w:p>
    <w:p>
      <w:pPr>
        <w:pStyle w:val="Heading1"/>
      </w:pPr>
      <w:r>
        <w:t>5 新增与编辑表单</w:t>
      </w:r>
    </w:p>
    <w:tbl>
      <w:tblPr>
        <w:tblStyle w:val="TableGrid"/>
        <w:tblW w:type="dxa" w:w="10224"/>
        <w:jc w:val="center"/>
        <w:tblLayout w:type="fixed"/>
        <w:tblLook w:firstColumn="1" w:firstRow="1" w:lastColumn="0" w:lastRow="0" w:noHBand="0" w:noVBand="1" w:val="04A0"/>
      </w:tblPr>
      <w:tblGrid>
        <w:gridCol w:w="1584"/>
        <w:gridCol w:w="1872"/>
        <w:gridCol w:w="1728"/>
        <w:gridCol w:w="1152"/>
        <w:gridCol w:w="3888"/>
      </w:tblGrid>
      <w:tr>
        <w:trPr>
          <w:tblHeader/>
        </w:trPr>
        <w:tc>
          <w:tcPr>
            <w:tcW w:type="dxa" w:w="1584"/>
            <w:shd w:fill="17365D"/>
            <w:tcMar>
              <w:top w:w="75" w:type="dxa"/>
              <w:start w:w="100" w:type="dxa"/>
              <w:bottom w:w="75" w:type="dxa"/>
              <w:end w:w="100" w:type="dxa"/>
            </w:tcMar>
            <w:vAlign w:val="center"/>
          </w:tcPr>
          <w:p>
            <w:r>
              <w:rPr>
                <w:rFonts w:ascii="Calibri" w:hAnsi="Calibri" w:eastAsia="Microsoft YaHei"/>
                <w:b/>
                <w:color w:val="FFFFFF"/>
                <w:sz w:val="15"/>
              </w:rPr>
              <w:t>字段ID</w:t>
            </w:r>
          </w:p>
        </w:tc>
        <w:tc>
          <w:tcPr>
            <w:tcW w:type="dxa" w:w="1872"/>
            <w:shd w:fill="17365D"/>
            <w:tcMar>
              <w:top w:w="75" w:type="dxa"/>
              <w:start w:w="100" w:type="dxa"/>
              <w:bottom w:w="75" w:type="dxa"/>
              <w:end w:w="100" w:type="dxa"/>
            </w:tcMar>
            <w:vAlign w:val="center"/>
          </w:tcPr>
          <w:p>
            <w:r>
              <w:rPr>
                <w:rFonts w:ascii="Calibri" w:hAnsi="Calibri" w:eastAsia="Microsoft YaHei"/>
                <w:b/>
                <w:color w:val="FFFFFF"/>
                <w:sz w:val="15"/>
              </w:rPr>
              <w:t>字段</w:t>
            </w:r>
          </w:p>
        </w:tc>
        <w:tc>
          <w:tcPr>
            <w:tcW w:type="dxa" w:w="1728"/>
            <w:shd w:fill="17365D"/>
            <w:tcMar>
              <w:top w:w="75" w:type="dxa"/>
              <w:start w:w="100" w:type="dxa"/>
              <w:bottom w:w="75" w:type="dxa"/>
              <w:end w:w="100" w:type="dxa"/>
            </w:tcMar>
            <w:vAlign w:val="center"/>
          </w:tcPr>
          <w:p>
            <w:r>
              <w:rPr>
                <w:rFonts w:ascii="Calibri" w:hAnsi="Calibri" w:eastAsia="Microsoft YaHei"/>
                <w:b/>
                <w:color w:val="FFFFFF"/>
                <w:sz w:val="15"/>
              </w:rPr>
              <w:t>控件</w:t>
            </w:r>
          </w:p>
        </w:tc>
        <w:tc>
          <w:tcPr>
            <w:tcW w:type="dxa" w:w="1152"/>
            <w:shd w:fill="17365D"/>
            <w:tcMar>
              <w:top w:w="75" w:type="dxa"/>
              <w:start w:w="100" w:type="dxa"/>
              <w:bottom w:w="75" w:type="dxa"/>
              <w:end w:w="100" w:type="dxa"/>
            </w:tcMar>
            <w:vAlign w:val="center"/>
          </w:tcPr>
          <w:p>
            <w:r>
              <w:rPr>
                <w:rFonts w:ascii="Calibri" w:hAnsi="Calibri" w:eastAsia="Microsoft YaHei"/>
                <w:b/>
                <w:color w:val="FFFFFF"/>
                <w:sz w:val="15"/>
              </w:rPr>
              <w:t>必填</w:t>
            </w:r>
          </w:p>
        </w:tc>
        <w:tc>
          <w:tcPr>
            <w:tcW w:type="dxa" w:w="3888"/>
            <w:shd w:fill="17365D"/>
            <w:tcMar>
              <w:top w:w="75" w:type="dxa"/>
              <w:start w:w="100" w:type="dxa"/>
              <w:bottom w:w="75" w:type="dxa"/>
              <w:end w:w="100" w:type="dxa"/>
            </w:tcMar>
            <w:vAlign w:val="center"/>
          </w:tcPr>
          <w:p>
            <w:r>
              <w:rPr>
                <w:rFonts w:ascii="Calibri" w:hAnsi="Calibri" w:eastAsia="Microsoft YaHei"/>
                <w:b/>
                <w:color w:val="FFFFFF"/>
                <w:sz w:val="15"/>
              </w:rPr>
              <w:t>校验与保存规则</w:t>
            </w:r>
          </w:p>
        </w:tc>
      </w:tr>
      <w:tr>
        <w:trPr>
          <w:cantSplit/>
        </w:trPr>
        <w:tc>
          <w:tcPr>
            <w:tcW w:type="dxa" w:w="158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OS-OPS-PRD-16-F01</w:t>
            </w:r>
          </w:p>
        </w:tc>
        <w:tc>
          <w:tcPr>
            <w:tcW w:type="dxa" w:w="1872"/>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原订单</w:t>
            </w:r>
          </w:p>
        </w:tc>
        <w:tc>
          <w:tcPr>
            <w:tcW w:type="dxa" w:w="1728"/>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文本框</w:t>
            </w:r>
          </w:p>
        </w:tc>
        <w:tc>
          <w:tcPr>
            <w:tcW w:type="dxa" w:w="1152"/>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条件必填</w:t>
            </w:r>
          </w:p>
        </w:tc>
        <w:tc>
          <w:tcPr>
            <w:tcW w:type="dxa" w:w="3888"/>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去除首尾空格；保存原始值与标准化值。</w:t>
            </w:r>
          </w:p>
        </w:tc>
      </w:tr>
      <w:tr>
        <w:trPr>
          <w:cantSplit/>
        </w:trPr>
        <w:tc>
          <w:tcPr>
            <w:tcW w:type="dxa" w:w="158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OS-OPS-PRD-16-F02</w:t>
            </w:r>
          </w:p>
        </w:tc>
        <w:tc>
          <w:tcPr>
            <w:tcW w:type="dxa" w:w="1872"/>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客户</w:t>
            </w:r>
          </w:p>
        </w:tc>
        <w:tc>
          <w:tcPr>
            <w:tcW w:type="dxa" w:w="1728"/>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文本框</w:t>
            </w:r>
          </w:p>
        </w:tc>
        <w:tc>
          <w:tcPr>
            <w:tcW w:type="dxa" w:w="1152"/>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条件必填</w:t>
            </w:r>
          </w:p>
        </w:tc>
        <w:tc>
          <w:tcPr>
            <w:tcW w:type="dxa" w:w="3888"/>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去除首尾空格；保存原始值与标准化值。</w:t>
            </w:r>
          </w:p>
        </w:tc>
      </w:tr>
      <w:tr>
        <w:trPr>
          <w:cantSplit/>
        </w:trPr>
        <w:tc>
          <w:tcPr>
            <w:tcW w:type="dxa" w:w="158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OS-OPS-PRD-16-F03</w:t>
            </w:r>
          </w:p>
        </w:tc>
        <w:tc>
          <w:tcPr>
            <w:tcW w:type="dxa" w:w="1872"/>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原仓位</w:t>
            </w:r>
          </w:p>
        </w:tc>
        <w:tc>
          <w:tcPr>
            <w:tcW w:type="dxa" w:w="1728"/>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文本框</w:t>
            </w:r>
          </w:p>
        </w:tc>
        <w:tc>
          <w:tcPr>
            <w:tcW w:type="dxa" w:w="1152"/>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条件必填</w:t>
            </w:r>
          </w:p>
        </w:tc>
        <w:tc>
          <w:tcPr>
            <w:tcW w:type="dxa" w:w="3888"/>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去除首尾空格；保存原始值与标准化值。</w:t>
            </w:r>
          </w:p>
        </w:tc>
      </w:tr>
      <w:tr>
        <w:trPr>
          <w:cantSplit/>
        </w:trPr>
        <w:tc>
          <w:tcPr>
            <w:tcW w:type="dxa" w:w="158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OS-OPS-PRD-16-F04</w:t>
            </w:r>
          </w:p>
        </w:tc>
        <w:tc>
          <w:tcPr>
            <w:tcW w:type="dxa" w:w="1872"/>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目标店铺</w:t>
            </w:r>
          </w:p>
        </w:tc>
        <w:tc>
          <w:tcPr>
            <w:tcW w:type="dxa" w:w="1728"/>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单选或下拉选择</w:t>
            </w:r>
          </w:p>
        </w:tc>
        <w:tc>
          <w:tcPr>
            <w:tcW w:type="dxa" w:w="1152"/>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必填</w:t>
            </w:r>
          </w:p>
        </w:tc>
        <w:tc>
          <w:tcPr>
            <w:tcW w:type="dxa" w:w="3888"/>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选项来自服务端字典；提交编码值，界面显示名称。</w:t>
            </w:r>
          </w:p>
        </w:tc>
      </w:tr>
      <w:tr>
        <w:trPr>
          <w:cantSplit/>
        </w:trPr>
        <w:tc>
          <w:tcPr>
            <w:tcW w:type="dxa" w:w="158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OS-OPS-PRD-16-F05</w:t>
            </w:r>
          </w:p>
        </w:tc>
        <w:tc>
          <w:tcPr>
            <w:tcW w:type="dxa" w:w="1872"/>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目标仓位</w:t>
            </w:r>
          </w:p>
        </w:tc>
        <w:tc>
          <w:tcPr>
            <w:tcW w:type="dxa" w:w="1728"/>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文本框</w:t>
            </w:r>
          </w:p>
        </w:tc>
        <w:tc>
          <w:tcPr>
            <w:tcW w:type="dxa" w:w="1152"/>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条件必填</w:t>
            </w:r>
          </w:p>
        </w:tc>
        <w:tc>
          <w:tcPr>
            <w:tcW w:type="dxa" w:w="3888"/>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去除首尾空格；保存原始值与标准化值。</w:t>
            </w:r>
          </w:p>
        </w:tc>
      </w:tr>
      <w:tr>
        <w:trPr>
          <w:cantSplit/>
        </w:trPr>
        <w:tc>
          <w:tcPr>
            <w:tcW w:type="dxa" w:w="158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OS-OPS-PRD-16-F06</w:t>
            </w:r>
          </w:p>
        </w:tc>
        <w:tc>
          <w:tcPr>
            <w:tcW w:type="dxa" w:w="1872"/>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转仓日期</w:t>
            </w:r>
          </w:p>
        </w:tc>
        <w:tc>
          <w:tcPr>
            <w:tcW w:type="dxa" w:w="1728"/>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日期或日期时间</w:t>
            </w:r>
          </w:p>
        </w:tc>
        <w:tc>
          <w:tcPr>
            <w:tcW w:type="dxa" w:w="1152"/>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必填</w:t>
            </w:r>
          </w:p>
        </w:tc>
        <w:tc>
          <w:tcPr>
            <w:tcW w:type="dxa" w:w="3888"/>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服务端校验起止顺序、营业日和截止规则。</w:t>
            </w:r>
          </w:p>
        </w:tc>
      </w:tr>
      <w:tr>
        <w:trPr>
          <w:cantSplit/>
        </w:trPr>
        <w:tc>
          <w:tcPr>
            <w:tcW w:type="dxa" w:w="158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OS-OPS-PRD-16-F07</w:t>
            </w:r>
          </w:p>
        </w:tc>
        <w:tc>
          <w:tcPr>
            <w:tcW w:type="dxa" w:w="1872"/>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差价计算方式</w:t>
            </w:r>
          </w:p>
        </w:tc>
        <w:tc>
          <w:tcPr>
            <w:tcW w:type="dxa" w:w="1728"/>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单选或下拉选择</w:t>
            </w:r>
          </w:p>
        </w:tc>
        <w:tc>
          <w:tcPr>
            <w:tcW w:type="dxa" w:w="1152"/>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必填</w:t>
            </w:r>
          </w:p>
        </w:tc>
        <w:tc>
          <w:tcPr>
            <w:tcW w:type="dxa" w:w="3888"/>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选项来自服务端字典；提交编码值，界面显示名称。</w:t>
            </w:r>
          </w:p>
        </w:tc>
      </w:tr>
      <w:tr>
        <w:trPr>
          <w:cantSplit/>
        </w:trPr>
        <w:tc>
          <w:tcPr>
            <w:tcW w:type="dxa" w:w="158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OS-OPS-PRD-16-F08</w:t>
            </w:r>
          </w:p>
        </w:tc>
        <w:tc>
          <w:tcPr>
            <w:tcW w:type="dxa" w:w="1872"/>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租金差额</w:t>
            </w:r>
          </w:p>
        </w:tc>
        <w:tc>
          <w:tcPr>
            <w:tcW w:type="dxa" w:w="1728"/>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金额输入</w:t>
            </w:r>
          </w:p>
        </w:tc>
        <w:tc>
          <w:tcPr>
            <w:tcW w:type="dxa" w:w="1152"/>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条件必填</w:t>
            </w:r>
          </w:p>
        </w:tc>
        <w:tc>
          <w:tcPr>
            <w:tcW w:type="dxa" w:w="3888"/>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输入大于等于0，最多两位小数；服务端以最小货币单位重算。</w:t>
            </w:r>
          </w:p>
        </w:tc>
      </w:tr>
      <w:tr>
        <w:trPr>
          <w:cantSplit/>
        </w:trPr>
        <w:tc>
          <w:tcPr>
            <w:tcW w:type="dxa" w:w="158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OS-OPS-PRD-16-F09</w:t>
            </w:r>
          </w:p>
        </w:tc>
        <w:tc>
          <w:tcPr>
            <w:tcW w:type="dxa" w:w="1872"/>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按金差额</w:t>
            </w:r>
          </w:p>
        </w:tc>
        <w:tc>
          <w:tcPr>
            <w:tcW w:type="dxa" w:w="1728"/>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金额输入</w:t>
            </w:r>
          </w:p>
        </w:tc>
        <w:tc>
          <w:tcPr>
            <w:tcW w:type="dxa" w:w="1152"/>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条件必填</w:t>
            </w:r>
          </w:p>
        </w:tc>
        <w:tc>
          <w:tcPr>
            <w:tcW w:type="dxa" w:w="3888"/>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输入大于等于0，最多两位小数；服务端以最小货币单位重算。</w:t>
            </w:r>
          </w:p>
        </w:tc>
      </w:tr>
      <w:tr>
        <w:trPr>
          <w:cantSplit/>
        </w:trPr>
        <w:tc>
          <w:tcPr>
            <w:tcW w:type="dxa" w:w="158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OS-OPS-PRD-16-F10</w:t>
            </w:r>
          </w:p>
        </w:tc>
        <w:tc>
          <w:tcPr>
            <w:tcW w:type="dxa" w:w="1872"/>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新租期</w:t>
            </w:r>
          </w:p>
        </w:tc>
        <w:tc>
          <w:tcPr>
            <w:tcW w:type="dxa" w:w="1728"/>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数字输入</w:t>
            </w:r>
          </w:p>
        </w:tc>
        <w:tc>
          <w:tcPr>
            <w:tcW w:type="dxa" w:w="1152"/>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条件必填</w:t>
            </w:r>
          </w:p>
        </w:tc>
        <w:tc>
          <w:tcPr>
            <w:tcW w:type="dxa" w:w="3888"/>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仅允许业务配置范围内的整数；服务端再次校验。</w:t>
            </w:r>
          </w:p>
        </w:tc>
      </w:tr>
      <w:tr>
        <w:trPr>
          <w:cantSplit/>
        </w:trPr>
        <w:tc>
          <w:tcPr>
            <w:tcW w:type="dxa" w:w="158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OS-OPS-PRD-16-F11</w:t>
            </w:r>
          </w:p>
        </w:tc>
        <w:tc>
          <w:tcPr>
            <w:tcW w:type="dxa" w:w="1872"/>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新销售订单</w:t>
            </w:r>
          </w:p>
        </w:tc>
        <w:tc>
          <w:tcPr>
            <w:tcW w:type="dxa" w:w="1728"/>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文本框</w:t>
            </w:r>
          </w:p>
        </w:tc>
        <w:tc>
          <w:tcPr>
            <w:tcW w:type="dxa" w:w="1152"/>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条件必填</w:t>
            </w:r>
          </w:p>
        </w:tc>
        <w:tc>
          <w:tcPr>
            <w:tcW w:type="dxa" w:w="3888"/>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去除首尾空格；保存原始值与标准化值。</w:t>
            </w:r>
          </w:p>
        </w:tc>
      </w:tr>
      <w:tr>
        <w:trPr>
          <w:cantSplit/>
        </w:trPr>
        <w:tc>
          <w:tcPr>
            <w:tcW w:type="dxa" w:w="158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OS-OPS-PRD-16-F12</w:t>
            </w:r>
          </w:p>
        </w:tc>
        <w:tc>
          <w:tcPr>
            <w:tcW w:type="dxa" w:w="1872"/>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旧单退租</w:t>
            </w:r>
          </w:p>
        </w:tc>
        <w:tc>
          <w:tcPr>
            <w:tcW w:type="dxa" w:w="1728"/>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文本框</w:t>
            </w:r>
          </w:p>
        </w:tc>
        <w:tc>
          <w:tcPr>
            <w:tcW w:type="dxa" w:w="1152"/>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条件必填</w:t>
            </w:r>
          </w:p>
        </w:tc>
        <w:tc>
          <w:tcPr>
            <w:tcW w:type="dxa" w:w="3888"/>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去除首尾空格；保存原始值与标准化值。</w:t>
            </w:r>
          </w:p>
        </w:tc>
      </w:tr>
      <w:tr>
        <w:trPr>
          <w:cantSplit/>
        </w:trPr>
        <w:tc>
          <w:tcPr>
            <w:tcW w:type="dxa" w:w="158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OS-OPS-PRD-16-F13</w:t>
            </w:r>
          </w:p>
        </w:tc>
        <w:tc>
          <w:tcPr>
            <w:tcW w:type="dxa" w:w="1872"/>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交接负责人</w:t>
            </w:r>
          </w:p>
        </w:tc>
        <w:tc>
          <w:tcPr>
            <w:tcW w:type="dxa" w:w="1728"/>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单选或下拉选择</w:t>
            </w:r>
          </w:p>
        </w:tc>
        <w:tc>
          <w:tcPr>
            <w:tcW w:type="dxa" w:w="1152"/>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必填</w:t>
            </w:r>
          </w:p>
        </w:tc>
        <w:tc>
          <w:tcPr>
            <w:tcW w:type="dxa" w:w="3888"/>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选项来自服务端字典；提交编码值，界面显示名称。</w:t>
            </w:r>
          </w:p>
        </w:tc>
      </w:tr>
      <w:tr>
        <w:trPr>
          <w:cantSplit/>
        </w:trPr>
        <w:tc>
          <w:tcPr>
            <w:tcW w:type="dxa" w:w="158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OS-OPS-PRD-16-F14</w:t>
            </w:r>
          </w:p>
        </w:tc>
        <w:tc>
          <w:tcPr>
            <w:tcW w:type="dxa" w:w="1872"/>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备注</w:t>
            </w:r>
          </w:p>
        </w:tc>
        <w:tc>
          <w:tcPr>
            <w:tcW w:type="dxa" w:w="1728"/>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多行文本</w:t>
            </w:r>
          </w:p>
        </w:tc>
        <w:tc>
          <w:tcPr>
            <w:tcW w:type="dxa" w:w="1152"/>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条件必填</w:t>
            </w:r>
          </w:p>
        </w:tc>
        <w:tc>
          <w:tcPr>
            <w:tcW w:type="dxa" w:w="3888"/>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最多500字；拒绝或异常原因不得只输入空白。</w:t>
            </w:r>
          </w:p>
        </w:tc>
      </w:tr>
    </w:tbl>
    <w:p>
      <w:pPr>
        <w:spacing w:after="0"/>
      </w:pPr>
    </w:p>
    <w:p>
      <w:pPr>
        <w:pStyle w:val="ListBullet"/>
      </w:pPr>
      <w:r>
        <w:t>首次打开新增表单使用服务端默认值；编辑表单显示当前数据版本</w:t>
      </w:r>
    </w:p>
    <w:p>
      <w:pPr>
        <w:pStyle w:val="ListBullet"/>
      </w:pPr>
      <w:r>
        <w:t>字段错误显示在对应字段下方，已填写的其他字段不得清空</w:t>
      </w:r>
    </w:p>
    <w:p>
      <w:pPr>
        <w:pStyle w:val="ListBullet"/>
      </w:pPr>
      <w:r>
        <w:t>关闭未保存表单时，如有修改必须二次确认</w:t>
      </w:r>
    </w:p>
    <w:p>
      <w:pPr>
        <w:pStyle w:val="ListBullet"/>
      </w:pPr>
      <w:r>
        <w:t>保存按钮在请求进行中禁用；超时后先查询结果再允许重试</w:t>
      </w:r>
    </w:p>
    <w:p>
      <w:pPr>
        <w:pStyle w:val="Heading2"/>
      </w:pPr>
      <w:r>
        <w:t>5.1 详情入口与页面容器</w:t>
      </w:r>
    </w:p>
    <w:p>
      <w:r>
        <w:t>用户从列表行的查看入口、业务编号链接或关联对象深链打开详情。界面设计依据原型中的“转仓申请详情与审核处理界面”真实截图；原型未提供独立详情画面时，不生成示例截图，研发按本文档定义在现有列表视觉体系中实现右侧抽屉或独立详情页。</w:t>
      </w:r>
    </w:p>
    <w:tbl>
      <w:tblPr>
        <w:tblStyle w:val="TableGrid"/>
        <w:tblW w:type="dxa" w:w="10224"/>
        <w:jc w:val="center"/>
        <w:tblLayout w:type="fixed"/>
        <w:tblLook w:firstColumn="1" w:firstRow="1" w:lastColumn="0" w:lastRow="0" w:noHBand="0" w:noVBand="1" w:val="04A0"/>
      </w:tblPr>
      <w:tblGrid>
        <w:gridCol w:w="1944"/>
        <w:gridCol w:w="8280"/>
      </w:tblGrid>
      <w:tr>
        <w:trPr>
          <w:tblHeader/>
        </w:trPr>
        <w:tc>
          <w:tcPr>
            <w:tcW w:type="dxa" w:w="1944"/>
            <w:shd w:fill="17365D"/>
            <w:tcMar>
              <w:top w:w="75" w:type="dxa"/>
              <w:start w:w="100" w:type="dxa"/>
              <w:bottom w:w="75" w:type="dxa"/>
              <w:end w:w="100" w:type="dxa"/>
            </w:tcMar>
            <w:vAlign w:val="center"/>
          </w:tcPr>
          <w:p>
            <w:r>
              <w:rPr>
                <w:rFonts w:ascii="Calibri" w:hAnsi="Calibri" w:eastAsia="Microsoft YaHei"/>
                <w:b/>
                <w:color w:val="FFFFFF"/>
                <w:sz w:val="16"/>
              </w:rPr>
              <w:t>界面状态</w:t>
            </w:r>
          </w:p>
        </w:tc>
        <w:tc>
          <w:tcPr>
            <w:tcW w:type="dxa" w:w="8280"/>
            <w:shd w:fill="17365D"/>
            <w:tcMar>
              <w:top w:w="75" w:type="dxa"/>
              <w:start w:w="100" w:type="dxa"/>
              <w:bottom w:w="75" w:type="dxa"/>
              <w:end w:w="100" w:type="dxa"/>
            </w:tcMar>
            <w:vAlign w:val="center"/>
          </w:tcPr>
          <w:p>
            <w:r>
              <w:rPr>
                <w:rFonts w:ascii="Calibri" w:hAnsi="Calibri" w:eastAsia="Microsoft YaHei"/>
                <w:b/>
                <w:color w:val="FFFFFF"/>
                <w:sz w:val="16"/>
              </w:rPr>
              <w:t>完整处理规则</w:t>
            </w:r>
          </w:p>
        </w:tc>
      </w:tr>
      <w:tr>
        <w:trPr>
          <w:cantSplit/>
        </w:trPr>
        <w:tc>
          <w:tcPr>
            <w:tcW w:type="dxa" w:w="194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打开与返回</w:t>
            </w:r>
          </w:p>
        </w:tc>
        <w:tc>
          <w:tcPr>
            <w:tcW w:type="dxa" w:w="8280"/>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打开时保存列表筛选、分页、排序和滚动位置；关闭或返回后恢复原上下文，并只刷新发生变化的行。</w:t>
            </w:r>
          </w:p>
        </w:tc>
      </w:tr>
      <w:tr>
        <w:trPr>
          <w:cantSplit/>
        </w:trPr>
        <w:tc>
          <w:tcPr>
            <w:tcW w:type="dxa" w:w="194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加载中</w:t>
            </w:r>
          </w:p>
        </w:tc>
        <w:tc>
          <w:tcPr>
            <w:tcW w:type="dxa" w:w="8280"/>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先展示对象类型、业务编号和骨架屏；各信息组独立加载，禁止闪现上一条记录。</w:t>
            </w:r>
          </w:p>
        </w:tc>
      </w:tr>
      <w:tr>
        <w:trPr>
          <w:cantSplit/>
        </w:trPr>
        <w:tc>
          <w:tcPr>
            <w:tcW w:type="dxa" w:w="194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加载成功</w:t>
            </w:r>
          </w:p>
        </w:tc>
        <w:tc>
          <w:tcPr>
            <w:tcW w:type="dxa" w:w="8280"/>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返回id、业务编号、数据版本、当前状态、数据截止时间、字段权限和当前允许操作；页面以响应为唯一展示依据。</w:t>
            </w:r>
          </w:p>
        </w:tc>
      </w:tr>
      <w:tr>
        <w:trPr>
          <w:cantSplit/>
        </w:trPr>
        <w:tc>
          <w:tcPr>
            <w:tcW w:type="dxa" w:w="194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记录不存在</w:t>
            </w:r>
          </w:p>
        </w:tc>
        <w:tc>
          <w:tcPr>
            <w:tcW w:type="dxa" w:w="8280"/>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显示记录不存在、已归档或已移除；不泄露客户、金额、地址和关联对象，提供返回列表入口。</w:t>
            </w:r>
          </w:p>
        </w:tc>
      </w:tr>
      <w:tr>
        <w:trPr>
          <w:cantSplit/>
        </w:trPr>
        <w:tc>
          <w:tcPr>
            <w:tcW w:type="dxa" w:w="194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无权限</w:t>
            </w:r>
          </w:p>
        </w:tc>
        <w:tc>
          <w:tcPr>
            <w:tcW w:type="dxa" w:w="8280"/>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详情接口在返回任何业务字段前完成对象级和字段级鉴权；页面显示无权查看并记录拒绝审计。</w:t>
            </w:r>
          </w:p>
        </w:tc>
      </w:tr>
      <w:tr>
        <w:trPr>
          <w:cantSplit/>
        </w:trPr>
        <w:tc>
          <w:tcPr>
            <w:tcW w:type="dxa" w:w="194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版本变化</w:t>
            </w:r>
          </w:p>
        </w:tc>
        <w:tc>
          <w:tcPr>
            <w:tcW w:type="dxa" w:w="8280"/>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收到对象变更事件时自动刷新只读区；若存在未提交操作，提示比较最新版本，不覆盖用户输入。</w:t>
            </w:r>
          </w:p>
        </w:tc>
      </w:tr>
      <w:tr>
        <w:trPr>
          <w:cantSplit/>
        </w:trPr>
        <w:tc>
          <w:tcPr>
            <w:tcW w:type="dxa" w:w="194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部分失败</w:t>
            </w:r>
          </w:p>
        </w:tc>
        <w:tc>
          <w:tcPr>
            <w:tcW w:type="dxa" w:w="8280"/>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基本资料可显示时保留页面，仅在失败的信息组显示错误、链路追踪编号和重试；不得把缺失值显示为0或正常状态。</w:t>
            </w:r>
          </w:p>
        </w:tc>
      </w:tr>
    </w:tbl>
    <w:p>
      <w:pPr>
        <w:spacing w:after="0"/>
      </w:pPr>
    </w:p>
    <w:p>
      <w:pPr>
        <w:pStyle w:val="Heading2"/>
      </w:pPr>
      <w:r>
        <w:t>5.2 顶部摘要与详情信息组</w:t>
      </w:r>
    </w:p>
    <w:p>
      <w:r>
        <w:t>顶部摘要用于确认当前查看对象、归属、状态、责任人和关键业务值。详情字段必须覆盖新增、编辑及系统处理后形成的有效数据，不得只复制列表列。</w:t>
      </w:r>
    </w:p>
    <w:tbl>
      <w:tblPr>
        <w:tblStyle w:val="TableGrid"/>
        <w:tblW w:type="dxa" w:w="10224"/>
        <w:jc w:val="center"/>
        <w:tblLayout w:type="fixed"/>
        <w:tblLook w:firstColumn="1" w:firstRow="1" w:lastColumn="0" w:lastRow="0" w:noHBand="0" w:noVBand="1" w:val="04A0"/>
      </w:tblPr>
      <w:tblGrid>
        <w:gridCol w:w="2088"/>
        <w:gridCol w:w="4968"/>
        <w:gridCol w:w="3168"/>
      </w:tblGrid>
      <w:tr>
        <w:trPr>
          <w:tblHeader/>
        </w:trPr>
        <w:tc>
          <w:tcPr>
            <w:tcW w:type="dxa" w:w="2088"/>
            <w:shd w:fill="17365D"/>
            <w:tcMar>
              <w:top w:w="75" w:type="dxa"/>
              <w:start w:w="100" w:type="dxa"/>
              <w:bottom w:w="75" w:type="dxa"/>
              <w:end w:w="100" w:type="dxa"/>
            </w:tcMar>
            <w:vAlign w:val="center"/>
          </w:tcPr>
          <w:p>
            <w:r>
              <w:rPr>
                <w:rFonts w:ascii="Calibri" w:hAnsi="Calibri" w:eastAsia="Microsoft YaHei"/>
                <w:b/>
                <w:color w:val="FFFFFF"/>
                <w:sz w:val="15"/>
              </w:rPr>
              <w:t>信息组</w:t>
            </w:r>
          </w:p>
        </w:tc>
        <w:tc>
          <w:tcPr>
            <w:tcW w:type="dxa" w:w="4968"/>
            <w:shd w:fill="17365D"/>
            <w:tcMar>
              <w:top w:w="75" w:type="dxa"/>
              <w:start w:w="100" w:type="dxa"/>
              <w:bottom w:w="75" w:type="dxa"/>
              <w:end w:w="100" w:type="dxa"/>
            </w:tcMar>
            <w:vAlign w:val="center"/>
          </w:tcPr>
          <w:p>
            <w:r>
              <w:rPr>
                <w:rFonts w:ascii="Calibri" w:hAnsi="Calibri" w:eastAsia="Microsoft YaHei"/>
                <w:b/>
                <w:color w:val="FFFFFF"/>
                <w:sz w:val="15"/>
              </w:rPr>
              <w:t>展示字段</w:t>
            </w:r>
          </w:p>
        </w:tc>
        <w:tc>
          <w:tcPr>
            <w:tcW w:type="dxa" w:w="3168"/>
            <w:shd w:fill="17365D"/>
            <w:tcMar>
              <w:top w:w="75" w:type="dxa"/>
              <w:start w:w="100" w:type="dxa"/>
              <w:bottom w:w="75" w:type="dxa"/>
              <w:end w:w="100" w:type="dxa"/>
            </w:tcMar>
            <w:vAlign w:val="center"/>
          </w:tcPr>
          <w:p>
            <w:r>
              <w:rPr>
                <w:rFonts w:ascii="Calibri" w:hAnsi="Calibri" w:eastAsia="Microsoft YaHei"/>
                <w:b/>
                <w:color w:val="FFFFFF"/>
                <w:sz w:val="15"/>
              </w:rPr>
              <w:t>展示与交互规则</w:t>
            </w:r>
          </w:p>
        </w:tc>
      </w:tr>
      <w:tr>
        <w:trPr>
          <w:cantSplit/>
        </w:trPr>
        <w:tc>
          <w:tcPr>
            <w:tcW w:type="dxa" w:w="2088"/>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标识与基本资料</w:t>
            </w:r>
          </w:p>
        </w:tc>
        <w:tc>
          <w:tcPr>
            <w:tcW w:type="dxa" w:w="4968"/>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转仓编号、旧仓发票、仓由、仓至、旧单退租、差价计算方式、租金差额</w:t>
            </w:r>
          </w:p>
        </w:tc>
        <w:tc>
          <w:tcPr>
            <w:tcW w:type="dxa" w:w="3168"/>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完整显示业务编号与主属性；编号支持复制且不可编辑，敏感字段按字段权限脱敏。</w:t>
            </w:r>
          </w:p>
        </w:tc>
      </w:tr>
      <w:tr>
        <w:trPr>
          <w:cantSplit/>
        </w:trPr>
        <w:tc>
          <w:tcPr>
            <w:tcW w:type="dxa" w:w="2088"/>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归属与关联对象</w:t>
            </w:r>
          </w:p>
        </w:tc>
        <w:tc>
          <w:tcPr>
            <w:tcW w:type="dxa" w:w="4968"/>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新销售订单、产生新销售订单、原订单、客户、原仓位、目标店铺、目标仓位、交接负责人</w:t>
            </w:r>
          </w:p>
        </w:tc>
        <w:tc>
          <w:tcPr>
            <w:tcW w:type="dxa" w:w="3168"/>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显示名称加业务编号；有查看权限时可打开关联对象，无权限时只显示允许的摘要。</w:t>
            </w:r>
          </w:p>
        </w:tc>
      </w:tr>
      <w:tr>
        <w:trPr>
          <w:cantSplit/>
        </w:trPr>
        <w:tc>
          <w:tcPr>
            <w:tcW w:type="dxa" w:w="2088"/>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金额数量与业务配置</w:t>
            </w:r>
          </w:p>
        </w:tc>
        <w:tc>
          <w:tcPr>
            <w:tcW w:type="dxa" w:w="4968"/>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按金差额、新租期</w:t>
            </w:r>
          </w:p>
        </w:tc>
        <w:tc>
          <w:tcPr>
            <w:tcW w:type="dxa" w:w="3168"/>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显示原始值、单位、币种和有效版本；金额与数量由服务端返回，前端不得二次推导覆盖。</w:t>
            </w:r>
          </w:p>
        </w:tc>
      </w:tr>
      <w:tr>
        <w:trPr>
          <w:cantSplit/>
        </w:trPr>
        <w:tc>
          <w:tcPr>
            <w:tcW w:type="dxa" w:w="2088"/>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状态责任与时间</w:t>
            </w:r>
          </w:p>
        </w:tc>
        <w:tc>
          <w:tcPr>
            <w:tcW w:type="dxa" w:w="4968"/>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转仓日期</w:t>
            </w:r>
          </w:p>
        </w:tc>
        <w:tc>
          <w:tcPr>
            <w:tcW w:type="dxa" w:w="3168"/>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显示当前状态、负责人、业务时间和服务器更新时间；状态由服务端枚举与时间线共同解释。</w:t>
            </w:r>
          </w:p>
        </w:tc>
      </w:tr>
      <w:tr>
        <w:trPr>
          <w:cantSplit/>
        </w:trPr>
        <w:tc>
          <w:tcPr>
            <w:tcW w:type="dxa" w:w="2088"/>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附件说明与补充信息</w:t>
            </w:r>
          </w:p>
        </w:tc>
        <w:tc>
          <w:tcPr>
            <w:tcW w:type="dxa" w:w="4968"/>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备注</w:t>
            </w:r>
          </w:p>
        </w:tc>
        <w:tc>
          <w:tcPr>
            <w:tcW w:type="dxa" w:w="3168"/>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附件展示文件名、版本、扫描状态和权限动作；长文本保留换行并记录创建人与时间。</w:t>
            </w:r>
          </w:p>
        </w:tc>
      </w:tr>
      <w:tr>
        <w:trPr>
          <w:cantSplit/>
        </w:trPr>
        <w:tc>
          <w:tcPr>
            <w:tcW w:type="dxa" w:w="2088"/>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系统与审计信息</w:t>
            </w:r>
          </w:p>
        </w:tc>
        <w:tc>
          <w:tcPr>
            <w:tcW w:type="dxa" w:w="4968"/>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数据版本、创建时间、创建人、更新时间、更新人、来源渠道、请求编号</w:t>
            </w:r>
          </w:p>
        </w:tc>
        <w:tc>
          <w:tcPr>
            <w:tcW w:type="dxa" w:w="3168"/>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作为详情响应固定字段；用于并发控制、来源说明和操作追踪，不允许前端伪造。</w:t>
            </w:r>
          </w:p>
        </w:tc>
      </w:tr>
    </w:tbl>
    <w:p>
      <w:pPr>
        <w:spacing w:after="0"/>
      </w:pPr>
    </w:p>
    <w:p>
      <w:pPr>
        <w:pStyle w:val="Heading2"/>
      </w:pPr>
      <w:r>
        <w:t>5.3 状态时间线与处理记录</w:t>
      </w:r>
    </w:p>
    <w:tbl>
      <w:tblPr>
        <w:tblStyle w:val="TableGrid"/>
        <w:tblW w:type="dxa" w:w="10368"/>
        <w:jc w:val="center"/>
        <w:tblLayout w:type="fixed"/>
        <w:tblLook w:firstColumn="1" w:firstRow="1" w:lastColumn="0" w:lastRow="0" w:noHBand="0" w:noVBand="1" w:val="04A0"/>
      </w:tblPr>
      <w:tblGrid>
        <w:gridCol w:w="1800"/>
        <w:gridCol w:w="3816"/>
        <w:gridCol w:w="4752"/>
      </w:tblGrid>
      <w:tr>
        <w:trPr>
          <w:tblHeader/>
        </w:trPr>
        <w:tc>
          <w:tcPr>
            <w:tcW w:type="dxa" w:w="1800"/>
            <w:shd w:fill="17365D"/>
            <w:tcMar>
              <w:top w:w="75" w:type="dxa"/>
              <w:start w:w="100" w:type="dxa"/>
              <w:bottom w:w="75" w:type="dxa"/>
              <w:end w:w="100" w:type="dxa"/>
            </w:tcMar>
            <w:vAlign w:val="center"/>
          </w:tcPr>
          <w:p>
            <w:r>
              <w:rPr>
                <w:rFonts w:ascii="Calibri" w:hAnsi="Calibri" w:eastAsia="Microsoft YaHei"/>
                <w:b/>
                <w:color w:val="FFFFFF"/>
                <w:sz w:val="15"/>
              </w:rPr>
              <w:t>区域</w:t>
            </w:r>
          </w:p>
        </w:tc>
        <w:tc>
          <w:tcPr>
            <w:tcW w:type="dxa" w:w="3816"/>
            <w:shd w:fill="17365D"/>
            <w:tcMar>
              <w:top w:w="75" w:type="dxa"/>
              <w:start w:w="100" w:type="dxa"/>
              <w:bottom w:w="75" w:type="dxa"/>
              <w:end w:w="100" w:type="dxa"/>
            </w:tcMar>
            <w:vAlign w:val="center"/>
          </w:tcPr>
          <w:p>
            <w:r>
              <w:rPr>
                <w:rFonts w:ascii="Calibri" w:hAnsi="Calibri" w:eastAsia="Microsoft YaHei"/>
                <w:b/>
                <w:color w:val="FFFFFF"/>
                <w:sz w:val="15"/>
              </w:rPr>
              <w:t>内容</w:t>
            </w:r>
          </w:p>
        </w:tc>
        <w:tc>
          <w:tcPr>
            <w:tcW w:type="dxa" w:w="4752"/>
            <w:shd w:fill="17365D"/>
            <w:tcMar>
              <w:top w:w="75" w:type="dxa"/>
              <w:start w:w="100" w:type="dxa"/>
              <w:bottom w:w="75" w:type="dxa"/>
              <w:end w:w="100" w:type="dxa"/>
            </w:tcMar>
            <w:vAlign w:val="center"/>
          </w:tcPr>
          <w:p>
            <w:r>
              <w:rPr>
                <w:rFonts w:ascii="Calibri" w:hAnsi="Calibri" w:eastAsia="Microsoft YaHei"/>
                <w:b/>
                <w:color w:val="FFFFFF"/>
                <w:sz w:val="15"/>
              </w:rPr>
              <w:t>规则</w:t>
            </w:r>
          </w:p>
        </w:tc>
      </w:tr>
      <w:tr>
        <w:trPr>
          <w:cantSplit/>
        </w:trPr>
        <w:tc>
          <w:tcPr>
            <w:tcW w:type="dxa" w:w="1800"/>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当前状态</w:t>
            </w:r>
          </w:p>
        </w:tc>
        <w:tc>
          <w:tcPr>
            <w:tcW w:type="dxa" w:w="3816"/>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已申请→目标仓预留→待报价确认→待签约付款→待交接→已完成；取消/异常</w:t>
            </w:r>
          </w:p>
        </w:tc>
        <w:tc>
          <w:tcPr>
            <w:tcW w:type="dxa" w:w="4752"/>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由服务端当前状态和状态名称返回；页面不得根据按钮、时间或关联对象自行推断。</w:t>
            </w:r>
          </w:p>
        </w:tc>
      </w:tr>
      <w:tr>
        <w:trPr>
          <w:cantSplit/>
        </w:trPr>
        <w:tc>
          <w:tcPr>
            <w:tcW w:type="dxa" w:w="1800"/>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状态时间线</w:t>
            </w:r>
          </w:p>
        </w:tc>
        <w:tc>
          <w:tcPr>
            <w:tcW w:type="dxa" w:w="3816"/>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创建、分派或提交、审批、执行、完成、取消、失败、恢复等有效节点</w:t>
            </w:r>
          </w:p>
        </w:tc>
        <w:tc>
          <w:tcPr>
            <w:tcW w:type="dxa" w:w="4752"/>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每个节点显示事件编号、状态、业务时间、服务器接收时间、操作者、来源端、原因和结果；重试不得覆盖历史。</w:t>
            </w:r>
          </w:p>
        </w:tc>
      </w:tr>
      <w:tr>
        <w:trPr>
          <w:cantSplit/>
        </w:trPr>
        <w:tc>
          <w:tcPr>
            <w:tcW w:type="dxa" w:w="1800"/>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操作记录</w:t>
            </w:r>
          </w:p>
        </w:tc>
        <w:tc>
          <w:tcPr>
            <w:tcW w:type="dxa" w:w="3816"/>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新增、编辑、状态动作、关联变更、下载、导出和权限拒绝</w:t>
            </w:r>
          </w:p>
        </w:tc>
        <w:tc>
          <w:tcPr>
            <w:tcW w:type="dxa" w:w="4752"/>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按发生时间倒序分页；字段变化显示前后值摘要，敏感原文继续脱敏。</w:t>
            </w:r>
          </w:p>
        </w:tc>
      </w:tr>
      <w:tr>
        <w:trPr>
          <w:cantSplit/>
        </w:trPr>
        <w:tc>
          <w:tcPr>
            <w:tcW w:type="dxa" w:w="1800"/>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异步任务</w:t>
            </w:r>
          </w:p>
        </w:tc>
        <w:tc>
          <w:tcPr>
            <w:tcW w:type="dxa" w:w="3816"/>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通知、同步、文件处理、第三方回调、导出或补偿任务</w:t>
            </w:r>
          </w:p>
        </w:tc>
        <w:tc>
          <w:tcPr>
            <w:tcW w:type="dxa" w:w="4752"/>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显示任务编号、当前状态、重试次数、最近错误和下一次重试时间；主事务成功与异步失败分开表达。</w:t>
            </w:r>
          </w:p>
        </w:tc>
      </w:tr>
    </w:tbl>
    <w:p>
      <w:pPr>
        <w:spacing w:after="0"/>
      </w:pPr>
    </w:p>
    <w:p>
      <w:pPr>
        <w:pStyle w:val="Heading2"/>
      </w:pPr>
      <w:r>
        <w:t>5.4 关联对象与页签规则</w:t>
      </w:r>
    </w:p>
    <w:tbl>
      <w:tblPr>
        <w:tblStyle w:val="TableGrid"/>
        <w:tblW w:type="dxa" w:w="10368"/>
        <w:jc w:val="center"/>
        <w:tblLayout w:type="fixed"/>
        <w:tblLook w:firstColumn="1" w:firstRow="1" w:lastColumn="0" w:lastRow="0" w:noHBand="0" w:noVBand="1" w:val="04A0"/>
      </w:tblPr>
      <w:tblGrid>
        <w:gridCol w:w="1800"/>
        <w:gridCol w:w="4032"/>
        <w:gridCol w:w="4536"/>
      </w:tblGrid>
      <w:tr>
        <w:trPr>
          <w:tblHeader/>
        </w:trPr>
        <w:tc>
          <w:tcPr>
            <w:tcW w:type="dxa" w:w="1800"/>
            <w:shd w:fill="17365D"/>
            <w:tcMar>
              <w:top w:w="75" w:type="dxa"/>
              <w:start w:w="100" w:type="dxa"/>
              <w:bottom w:w="75" w:type="dxa"/>
              <w:end w:w="100" w:type="dxa"/>
            </w:tcMar>
            <w:vAlign w:val="center"/>
          </w:tcPr>
          <w:p>
            <w:r>
              <w:rPr>
                <w:rFonts w:ascii="Calibri" w:hAnsi="Calibri" w:eastAsia="Microsoft YaHei"/>
                <w:b/>
                <w:color w:val="FFFFFF"/>
                <w:sz w:val="15"/>
              </w:rPr>
              <w:t>页签或区域</w:t>
            </w:r>
          </w:p>
        </w:tc>
        <w:tc>
          <w:tcPr>
            <w:tcW w:type="dxa" w:w="4032"/>
            <w:shd w:fill="17365D"/>
            <w:tcMar>
              <w:top w:w="75" w:type="dxa"/>
              <w:start w:w="100" w:type="dxa"/>
              <w:bottom w:w="75" w:type="dxa"/>
              <w:end w:w="100" w:type="dxa"/>
            </w:tcMar>
            <w:vAlign w:val="center"/>
          </w:tcPr>
          <w:p>
            <w:r>
              <w:rPr>
                <w:rFonts w:ascii="Calibri" w:hAnsi="Calibri" w:eastAsia="Microsoft YaHei"/>
                <w:b/>
                <w:color w:val="FFFFFF"/>
                <w:sz w:val="15"/>
              </w:rPr>
              <w:t>范围</w:t>
            </w:r>
          </w:p>
        </w:tc>
        <w:tc>
          <w:tcPr>
            <w:tcW w:type="dxa" w:w="4536"/>
            <w:shd w:fill="17365D"/>
            <w:tcMar>
              <w:top w:w="75" w:type="dxa"/>
              <w:start w:w="100" w:type="dxa"/>
              <w:bottom w:w="75" w:type="dxa"/>
              <w:end w:w="100" w:type="dxa"/>
            </w:tcMar>
            <w:vAlign w:val="center"/>
          </w:tcPr>
          <w:p>
            <w:r>
              <w:rPr>
                <w:rFonts w:ascii="Calibri" w:hAnsi="Calibri" w:eastAsia="Microsoft YaHei"/>
                <w:b/>
                <w:color w:val="FFFFFF"/>
                <w:sz w:val="15"/>
              </w:rPr>
              <w:t>规则</w:t>
            </w:r>
          </w:p>
        </w:tc>
      </w:tr>
      <w:tr>
        <w:trPr>
          <w:cantSplit/>
        </w:trPr>
        <w:tc>
          <w:tcPr>
            <w:tcW w:type="dxa" w:w="1800"/>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基本资料</w:t>
            </w:r>
          </w:p>
        </w:tc>
        <w:tc>
          <w:tcPr>
            <w:tcW w:type="dxa" w:w="4032"/>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当前对象全部有效字段</w:t>
            </w:r>
          </w:p>
        </w:tc>
        <w:tc>
          <w:tcPr>
            <w:tcW w:type="dxa" w:w="4536"/>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按字段权限显示、脱敏或隐藏；编辑入口只在当前允许操作含EDIT时出现。</w:t>
            </w:r>
          </w:p>
        </w:tc>
      </w:tr>
      <w:tr>
        <w:trPr>
          <w:cantSplit/>
        </w:trPr>
        <w:tc>
          <w:tcPr>
            <w:tcW w:type="dxa" w:w="1800"/>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关联业务</w:t>
            </w:r>
          </w:p>
        </w:tc>
        <w:tc>
          <w:tcPr>
            <w:tcW w:type="dxa" w:w="4032"/>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原订单与仓位、目标仓位锁定、差价明细、新订单、交接工单、付款与取消补偿</w:t>
            </w:r>
          </w:p>
        </w:tc>
        <w:tc>
          <w:tcPr>
            <w:tcW w:type="dxa" w:w="4536"/>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关联列表返回对象类型、编号、名称、状态、关系、关键时间和详情地址；按权限分页加载。</w:t>
            </w:r>
          </w:p>
        </w:tc>
      </w:tr>
      <w:tr>
        <w:trPr>
          <w:cantSplit/>
        </w:trPr>
        <w:tc>
          <w:tcPr>
            <w:tcW w:type="dxa" w:w="1800"/>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附件与凭证</w:t>
            </w:r>
          </w:p>
        </w:tc>
        <w:tc>
          <w:tcPr>
            <w:tcW w:type="dxa" w:w="4032"/>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当前对象及处理过程形成的文件</w:t>
            </w:r>
          </w:p>
        </w:tc>
        <w:tc>
          <w:tcPr>
            <w:tcW w:type="dxa" w:w="4536"/>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显示文件版本、上传者、上传时间、扫描状态、哈希和可用动作；预览及下载均审计。</w:t>
            </w:r>
          </w:p>
        </w:tc>
      </w:tr>
      <w:tr>
        <w:trPr>
          <w:cantSplit/>
        </w:trPr>
        <w:tc>
          <w:tcPr>
            <w:tcW w:type="dxa" w:w="1800"/>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处理记录</w:t>
            </w:r>
          </w:p>
        </w:tc>
        <w:tc>
          <w:tcPr>
            <w:tcW w:type="dxa" w:w="4032"/>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状态时间线、操作日志和异步任务</w:t>
            </w:r>
          </w:p>
        </w:tc>
        <w:tc>
          <w:tcPr>
            <w:tcW w:type="dxa" w:w="4536"/>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支持按记录类型筛选；默认最新优先，时间字段统一使用香港时间展示。</w:t>
            </w:r>
          </w:p>
        </w:tc>
      </w:tr>
    </w:tbl>
    <w:p>
      <w:pPr>
        <w:spacing w:after="0"/>
      </w:pPr>
    </w:p>
    <w:p>
      <w:pPr>
        <w:pStyle w:val="Heading2"/>
      </w:pPr>
      <w:r>
        <w:t>5.5 详情动作与状态控制</w:t>
      </w:r>
    </w:p>
    <w:tbl>
      <w:tblPr>
        <w:tblStyle w:val="TableGrid"/>
        <w:tblW w:type="dxa" w:w="11376"/>
        <w:jc w:val="center"/>
        <w:tblLayout w:type="fixed"/>
        <w:tblLook w:firstColumn="1" w:firstRow="1" w:lastColumn="0" w:lastRow="0" w:noHBand="0" w:noVBand="1" w:val="04A0"/>
      </w:tblPr>
      <w:tblGrid>
        <w:gridCol w:w="1440"/>
        <w:gridCol w:w="1800"/>
        <w:gridCol w:w="1944"/>
        <w:gridCol w:w="3024"/>
        <w:gridCol w:w="3168"/>
      </w:tblGrid>
      <w:tr>
        <w:trPr>
          <w:tblHeader/>
        </w:trPr>
        <w:tc>
          <w:tcPr>
            <w:tcW w:type="dxa" w:w="1440"/>
            <w:shd w:fill="17365D"/>
            <w:tcMar>
              <w:top w:w="75" w:type="dxa"/>
              <w:start w:w="100" w:type="dxa"/>
              <w:bottom w:w="75" w:type="dxa"/>
              <w:end w:w="100" w:type="dxa"/>
            </w:tcMar>
            <w:vAlign w:val="center"/>
          </w:tcPr>
          <w:p>
            <w:r>
              <w:rPr>
                <w:rFonts w:ascii="Calibri" w:hAnsi="Calibri" w:eastAsia="Microsoft YaHei"/>
                <w:b/>
                <w:color w:val="FFFFFF"/>
                <w:sz w:val="14"/>
              </w:rPr>
              <w:t>动作ID</w:t>
            </w:r>
          </w:p>
        </w:tc>
        <w:tc>
          <w:tcPr>
            <w:tcW w:type="dxa" w:w="1800"/>
            <w:shd w:fill="17365D"/>
            <w:tcMar>
              <w:top w:w="75" w:type="dxa"/>
              <w:start w:w="100" w:type="dxa"/>
              <w:bottom w:w="75" w:type="dxa"/>
              <w:end w:w="100" w:type="dxa"/>
            </w:tcMar>
            <w:vAlign w:val="center"/>
          </w:tcPr>
          <w:p>
            <w:r>
              <w:rPr>
                <w:rFonts w:ascii="Calibri" w:hAnsi="Calibri" w:eastAsia="Microsoft YaHei"/>
                <w:b/>
                <w:color w:val="FFFFFF"/>
                <w:sz w:val="14"/>
              </w:rPr>
              <w:t>动作</w:t>
            </w:r>
          </w:p>
        </w:tc>
        <w:tc>
          <w:tcPr>
            <w:tcW w:type="dxa" w:w="1944"/>
            <w:shd w:fill="17365D"/>
            <w:tcMar>
              <w:top w:w="75" w:type="dxa"/>
              <w:start w:w="100" w:type="dxa"/>
              <w:bottom w:w="75" w:type="dxa"/>
              <w:end w:w="100" w:type="dxa"/>
            </w:tcMar>
            <w:vAlign w:val="center"/>
          </w:tcPr>
          <w:p>
            <w:r>
              <w:rPr>
                <w:rFonts w:ascii="Calibri" w:hAnsi="Calibri" w:eastAsia="Microsoft YaHei"/>
                <w:b/>
                <w:color w:val="FFFFFF"/>
                <w:sz w:val="14"/>
              </w:rPr>
              <w:t>角色</w:t>
            </w:r>
          </w:p>
        </w:tc>
        <w:tc>
          <w:tcPr>
            <w:tcW w:type="dxa" w:w="3024"/>
            <w:shd w:fill="17365D"/>
            <w:tcMar>
              <w:top w:w="75" w:type="dxa"/>
              <w:start w:w="100" w:type="dxa"/>
              <w:bottom w:w="75" w:type="dxa"/>
              <w:end w:w="100" w:type="dxa"/>
            </w:tcMar>
            <w:vAlign w:val="center"/>
          </w:tcPr>
          <w:p>
            <w:r>
              <w:rPr>
                <w:rFonts w:ascii="Calibri" w:hAnsi="Calibri" w:eastAsia="Microsoft YaHei"/>
                <w:b/>
                <w:color w:val="FFFFFF"/>
                <w:sz w:val="14"/>
              </w:rPr>
              <w:t>前置条件</w:t>
            </w:r>
          </w:p>
        </w:tc>
        <w:tc>
          <w:tcPr>
            <w:tcW w:type="dxa" w:w="3168"/>
            <w:shd w:fill="17365D"/>
            <w:tcMar>
              <w:top w:w="75" w:type="dxa"/>
              <w:start w:w="100" w:type="dxa"/>
              <w:bottom w:w="75" w:type="dxa"/>
              <w:end w:w="100" w:type="dxa"/>
            </w:tcMar>
            <w:vAlign w:val="center"/>
          </w:tcPr>
          <w:p>
            <w:r>
              <w:rPr>
                <w:rFonts w:ascii="Calibri" w:hAnsi="Calibri" w:eastAsia="Microsoft YaHei"/>
                <w:b/>
                <w:color w:val="FFFFFF"/>
                <w:sz w:val="14"/>
              </w:rPr>
              <w:t>成功及刷新规则</w:t>
            </w:r>
          </w:p>
        </w:tc>
      </w:tr>
      <w:tr>
        <w:trPr>
          <w:cantSplit/>
        </w:trPr>
        <w:tc>
          <w:tcPr>
            <w:tcW w:type="dxa" w:w="1440"/>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4"/>
              </w:rPr>
              <w:t>OS-OPS-PRD-16-DA01</w:t>
            </w:r>
          </w:p>
        </w:tc>
        <w:tc>
          <w:tcPr>
            <w:tcW w:type="dxa" w:w="1800"/>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4"/>
              </w:rPr>
              <w:t>新增转仓</w:t>
            </w:r>
          </w:p>
        </w:tc>
        <w:tc>
          <w:tcPr>
            <w:tcW w:type="dxa" w:w="194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4"/>
              </w:rPr>
              <w:t>具备本模块创建权限的运营人员</w:t>
            </w:r>
          </w:p>
        </w:tc>
        <w:tc>
          <w:tcPr>
            <w:tcW w:type="dxa" w:w="302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4"/>
              </w:rPr>
              <w:t>用户登录有效并具备创建或批量权限；关联主数据有效且属于数据权限范围；页面已加载最新字典、业务配置和当前允许操作。</w:t>
            </w:r>
          </w:p>
        </w:tc>
        <w:tc>
          <w:tcPr>
            <w:tcW w:type="dxa" w:w="3168"/>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4"/>
              </w:rPr>
              <w:t>校验原租约有效并实时锁定目标仓位。 成功后刷新数据版本、状态、时间线、关联数量和当前允许操作；失败不得提前改变界面主状态。</w:t>
            </w:r>
          </w:p>
        </w:tc>
      </w:tr>
      <w:tr>
        <w:trPr>
          <w:cantSplit/>
        </w:trPr>
        <w:tc>
          <w:tcPr>
            <w:tcW w:type="dxa" w:w="1440"/>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4"/>
              </w:rPr>
              <w:t>OS-OPS-PRD-16-DA02</w:t>
            </w:r>
          </w:p>
        </w:tc>
        <w:tc>
          <w:tcPr>
            <w:tcW w:type="dxa" w:w="1800"/>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4"/>
              </w:rPr>
              <w:t>计算差价</w:t>
            </w:r>
          </w:p>
        </w:tc>
        <w:tc>
          <w:tcPr>
            <w:tcW w:type="dxa" w:w="194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4"/>
              </w:rPr>
              <w:t>当前对象负责人、被分派执行人或获授权管理员</w:t>
            </w:r>
          </w:p>
        </w:tc>
        <w:tc>
          <w:tcPr>
            <w:tcW w:type="dxa" w:w="302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4"/>
              </w:rPr>
              <w:t>用户登录有效；目标对象存在且属于用户数据权限范围；当前状态包含该动作；页面持有最新数据版本和当前允许操作。涉及金额、库存、附件或第三方结果时必须回源确认。</w:t>
            </w:r>
          </w:p>
        </w:tc>
        <w:tc>
          <w:tcPr>
            <w:tcW w:type="dxa" w:w="3168"/>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4"/>
              </w:rPr>
              <w:t>按生效日分摊旧租金、新租金和按金。 成功后刷新数据版本、状态、时间线、关联数量和当前允许操作；失败不得提前改变界面主状态。</w:t>
            </w:r>
          </w:p>
        </w:tc>
      </w:tr>
      <w:tr>
        <w:trPr>
          <w:cantSplit/>
        </w:trPr>
        <w:tc>
          <w:tcPr>
            <w:tcW w:type="dxa" w:w="1440"/>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4"/>
              </w:rPr>
              <w:t>OS-OPS-PRD-16-DA03</w:t>
            </w:r>
          </w:p>
        </w:tc>
        <w:tc>
          <w:tcPr>
            <w:tcW w:type="dxa" w:w="1800"/>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4"/>
              </w:rPr>
              <w:t>生成新订单</w:t>
            </w:r>
          </w:p>
        </w:tc>
        <w:tc>
          <w:tcPr>
            <w:tcW w:type="dxa" w:w="194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4"/>
              </w:rPr>
              <w:t>具备本模块创建权限的运营人员</w:t>
            </w:r>
          </w:p>
        </w:tc>
        <w:tc>
          <w:tcPr>
            <w:tcW w:type="dxa" w:w="302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4"/>
              </w:rPr>
              <w:t>用户登录有效并具备创建或批量权限；关联主数据有效且属于数据权限范围；页面已加载最新字典、业务配置和当前允许操作。</w:t>
            </w:r>
          </w:p>
        </w:tc>
        <w:tc>
          <w:tcPr>
            <w:tcW w:type="dxa" w:w="3168"/>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4"/>
              </w:rPr>
              <w:t>建立新SO并关联原订单和转仓单。 成功后刷新数据版本、状态、时间线、关联数量和当前允许操作；失败不得提前改变界面主状态。</w:t>
            </w:r>
          </w:p>
        </w:tc>
      </w:tr>
      <w:tr>
        <w:trPr>
          <w:cantSplit/>
        </w:trPr>
        <w:tc>
          <w:tcPr>
            <w:tcW w:type="dxa" w:w="1440"/>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4"/>
              </w:rPr>
              <w:t>OS-OPS-PRD-16-DA04</w:t>
            </w:r>
          </w:p>
        </w:tc>
        <w:tc>
          <w:tcPr>
            <w:tcW w:type="dxa" w:w="1800"/>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4"/>
              </w:rPr>
              <w:t>完成交接</w:t>
            </w:r>
          </w:p>
        </w:tc>
        <w:tc>
          <w:tcPr>
            <w:tcW w:type="dxa" w:w="194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4"/>
              </w:rPr>
              <w:t>当前对象负责人、被分派执行人或获授权管理员</w:t>
            </w:r>
          </w:p>
        </w:tc>
        <w:tc>
          <w:tcPr>
            <w:tcW w:type="dxa" w:w="302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4"/>
              </w:rPr>
              <w:t>用户登录有效；目标对象存在且属于用户数据权限范围；当前状态包含该动作；页面持有最新数据版本和当前允许操作。涉及金额、库存、附件或第三方结果时必须回源确认。</w:t>
            </w:r>
          </w:p>
        </w:tc>
        <w:tc>
          <w:tcPr>
            <w:tcW w:type="dxa" w:w="3168"/>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4"/>
              </w:rPr>
              <w:t>确认原仓清空、目标仓启用和钥匙权限。 成功后刷新数据版本、状态、时间线、关联数量和当前允许操作；失败不得提前改变界面主状态。</w:t>
            </w:r>
          </w:p>
        </w:tc>
      </w:tr>
      <w:tr>
        <w:trPr>
          <w:cantSplit/>
        </w:trPr>
        <w:tc>
          <w:tcPr>
            <w:tcW w:type="dxa" w:w="1440"/>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4"/>
              </w:rPr>
              <w:t>OS-OPS-PRD-16-DA05</w:t>
            </w:r>
          </w:p>
        </w:tc>
        <w:tc>
          <w:tcPr>
            <w:tcW w:type="dxa" w:w="1800"/>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4"/>
              </w:rPr>
              <w:t>取消</w:t>
            </w:r>
          </w:p>
        </w:tc>
        <w:tc>
          <w:tcPr>
            <w:tcW w:type="dxa" w:w="194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4"/>
              </w:rPr>
              <w:t>对象负责人或具备状态管理权限的管理员</w:t>
            </w:r>
          </w:p>
        </w:tc>
        <w:tc>
          <w:tcPr>
            <w:tcW w:type="dxa" w:w="302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4"/>
              </w:rPr>
              <w:t>用户登录有效；目标对象存在且属于用户数据权限范围；当前状态包含该动作；页面持有最新数据版本和当前允许操作。涉及金额、库存、附件或第三方结果时必须回源确认。</w:t>
            </w:r>
          </w:p>
        </w:tc>
        <w:tc>
          <w:tcPr>
            <w:tcW w:type="dxa" w:w="3168"/>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4"/>
              </w:rPr>
              <w:t>释放目标仓并处理已支付差额。 成功后刷新数据版本、状态、时间线、关联数量和当前允许操作；失败不得提前改变界面主状态。</w:t>
            </w:r>
          </w:p>
        </w:tc>
      </w:tr>
    </w:tbl>
    <w:p>
      <w:pPr>
        <w:spacing w:after="0"/>
      </w:pPr>
    </w:p>
    <w:p>
      <w:pPr>
        <w:pStyle w:val="ListBullet"/>
      </w:pPr>
      <w:r>
        <w:t>主动作与次动作严格按照当前允许操作显示并固定操作类型映射</w:t>
      </w:r>
    </w:p>
    <w:p>
      <w:pPr>
        <w:pStyle w:val="ListBullet"/>
      </w:pPr>
      <w:r>
        <w:t>破坏性、资金、权限、发布、作废和关闭动作必须二次确认并显示影响范围</w:t>
      </w:r>
    </w:p>
    <w:p>
      <w:pPr>
        <w:pStyle w:val="ListBullet"/>
      </w:pPr>
      <w:r>
        <w:t>提交携带id、预期数据版本和客户端请求编号，服务端重复校验角色、数据范围、状态及业务前置</w:t>
      </w:r>
    </w:p>
    <w:p>
      <w:pPr>
        <w:pStyle w:val="ListBullet"/>
      </w:pPr>
      <w:r>
        <w:t>动作超时先用客户端请求编号查询结果，禁止直接重复扣款、发券、发通知、发布或迁移</w:t>
      </w:r>
    </w:p>
    <w:p>
      <w:pPr>
        <w:pStyle w:val="ListBullet"/>
      </w:pPr>
      <w:r>
        <w:t>批量或部分成功必须返回逐项结果、失败原因和补偿入口</w:t>
      </w:r>
    </w:p>
    <w:p>
      <w:pPr>
        <w:pStyle w:val="Heading2"/>
      </w:pPr>
      <w:r>
        <w:t>5.6 详情接口数据与事件</w:t>
      </w:r>
    </w:p>
    <w:tbl>
      <w:tblPr>
        <w:tblStyle w:val="TableGrid"/>
        <w:tblW w:type="dxa" w:w="10224"/>
        <w:jc w:val="center"/>
        <w:tblLayout w:type="fixed"/>
        <w:tblLook w:firstColumn="1" w:firstRow="1" w:lastColumn="0" w:lastRow="0" w:noHBand="0" w:noVBand="1" w:val="04A0"/>
      </w:tblPr>
      <w:tblGrid>
        <w:gridCol w:w="1800"/>
        <w:gridCol w:w="3960"/>
        <w:gridCol w:w="4464"/>
      </w:tblGrid>
      <w:tr>
        <w:trPr>
          <w:tblHeader/>
        </w:trPr>
        <w:tc>
          <w:tcPr>
            <w:tcW w:type="dxa" w:w="1800"/>
            <w:shd w:fill="17365D"/>
            <w:tcMar>
              <w:top w:w="75" w:type="dxa"/>
              <w:start w:w="100" w:type="dxa"/>
              <w:bottom w:w="75" w:type="dxa"/>
              <w:end w:w="100" w:type="dxa"/>
            </w:tcMar>
            <w:vAlign w:val="center"/>
          </w:tcPr>
          <w:p>
            <w:r>
              <w:rPr>
                <w:rFonts w:ascii="Calibri" w:hAnsi="Calibri" w:eastAsia="Microsoft YaHei"/>
                <w:b/>
                <w:color w:val="FFFFFF"/>
                <w:sz w:val="15"/>
              </w:rPr>
              <w:t>契约</w:t>
            </w:r>
          </w:p>
        </w:tc>
        <w:tc>
          <w:tcPr>
            <w:tcW w:type="dxa" w:w="3960"/>
            <w:shd w:fill="17365D"/>
            <w:tcMar>
              <w:top w:w="75" w:type="dxa"/>
              <w:start w:w="100" w:type="dxa"/>
              <w:bottom w:w="75" w:type="dxa"/>
              <w:end w:w="100" w:type="dxa"/>
            </w:tcMar>
            <w:vAlign w:val="center"/>
          </w:tcPr>
          <w:p>
            <w:r>
              <w:rPr>
                <w:rFonts w:ascii="Calibri" w:hAnsi="Calibri" w:eastAsia="Microsoft YaHei"/>
                <w:b/>
                <w:color w:val="FFFFFF"/>
                <w:sz w:val="15"/>
              </w:rPr>
              <w:t>路径或事件</w:t>
            </w:r>
          </w:p>
        </w:tc>
        <w:tc>
          <w:tcPr>
            <w:tcW w:type="dxa" w:w="4464"/>
            <w:shd w:fill="17365D"/>
            <w:tcMar>
              <w:top w:w="75" w:type="dxa"/>
              <w:start w:w="100" w:type="dxa"/>
              <w:bottom w:w="75" w:type="dxa"/>
              <w:end w:w="100" w:type="dxa"/>
            </w:tcMar>
            <w:vAlign w:val="center"/>
          </w:tcPr>
          <w:p>
            <w:r>
              <w:rPr>
                <w:rFonts w:ascii="Calibri" w:hAnsi="Calibri" w:eastAsia="Microsoft YaHei"/>
                <w:b/>
                <w:color w:val="FFFFFF"/>
                <w:sz w:val="15"/>
              </w:rPr>
              <w:t>开发要求</w:t>
            </w:r>
          </w:p>
        </w:tc>
      </w:tr>
      <w:tr>
        <w:trPr>
          <w:cantSplit/>
        </w:trPr>
        <w:tc>
          <w:tcPr>
            <w:tcW w:type="dxa" w:w="1800"/>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详情聚合</w:t>
            </w:r>
          </w:p>
        </w:tc>
        <w:tc>
          <w:tcPr>
            <w:tcW w:type="dxa" w:w="3960"/>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GET /ops/v1/transfers/{id}</w:t>
            </w:r>
          </w:p>
        </w:tc>
        <w:tc>
          <w:tcPr>
            <w:tcW w:type="dxa" w:w="446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返回基本资料、状态、数据版本、字段权限、当前允许操作、关联计数和各信息组状态。</w:t>
            </w:r>
          </w:p>
        </w:tc>
      </w:tr>
      <w:tr>
        <w:trPr>
          <w:cantSplit/>
        </w:trPr>
        <w:tc>
          <w:tcPr>
            <w:tcW w:type="dxa" w:w="1800"/>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状态时间线</w:t>
            </w:r>
          </w:p>
        </w:tc>
        <w:tc>
          <w:tcPr>
            <w:tcW w:type="dxa" w:w="3960"/>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GET /ops/v1/transfers/{id}/timeline</w:t>
            </w:r>
          </w:p>
        </w:tc>
        <w:tc>
          <w:tcPr>
            <w:tcW w:type="dxa" w:w="446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按cursor分页返回不可覆盖的业务节点、操作者、来源端、业务时间和接收时间。</w:t>
            </w:r>
          </w:p>
        </w:tc>
      </w:tr>
      <w:tr>
        <w:trPr>
          <w:cantSplit/>
        </w:trPr>
        <w:tc>
          <w:tcPr>
            <w:tcW w:type="dxa" w:w="1800"/>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关联对象</w:t>
            </w:r>
          </w:p>
        </w:tc>
        <w:tc>
          <w:tcPr>
            <w:tcW w:type="dxa" w:w="3960"/>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GET /ops/v1/transfers/{id}/relations</w:t>
            </w:r>
          </w:p>
        </w:tc>
        <w:tc>
          <w:tcPr>
            <w:tcW w:type="dxa" w:w="446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按关联类型分页查询，并执行目标对象数据范围和字段权限。</w:t>
            </w:r>
          </w:p>
        </w:tc>
      </w:tr>
      <w:tr>
        <w:trPr>
          <w:cantSplit/>
        </w:trPr>
        <w:tc>
          <w:tcPr>
            <w:tcW w:type="dxa" w:w="1800"/>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操作记录</w:t>
            </w:r>
          </w:p>
        </w:tc>
        <w:tc>
          <w:tcPr>
            <w:tcW w:type="dxa" w:w="3960"/>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GET /ops/v1/transfers/{id}/activities</w:t>
            </w:r>
          </w:p>
        </w:tc>
        <w:tc>
          <w:tcPr>
            <w:tcW w:type="dxa" w:w="446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返回字段变更摘要、状态动作、异步任务和权限可见的审计记录。</w:t>
            </w:r>
          </w:p>
        </w:tc>
      </w:tr>
      <w:tr>
        <w:trPr>
          <w:cantSplit/>
        </w:trPr>
        <w:tc>
          <w:tcPr>
            <w:tcW w:type="dxa" w:w="1800"/>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执行业务动作</w:t>
            </w:r>
          </w:p>
        </w:tc>
        <w:tc>
          <w:tcPr>
            <w:tcW w:type="dxa" w:w="3960"/>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POST /ops/v1/transfers/{id}/actions/{操作类型}</w:t>
            </w:r>
          </w:p>
        </w:tc>
        <w:tc>
          <w:tcPr>
            <w:tcW w:type="dxa" w:w="446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携带预期数据版本和客户端请求编号；返回新数据版本、状态、当前允许操作及副作用任务。</w:t>
            </w:r>
          </w:p>
        </w:tc>
      </w:tr>
      <w:tr>
        <w:trPr>
          <w:cantSplit/>
        </w:trPr>
        <w:tc>
          <w:tcPr>
            <w:tcW w:type="dxa" w:w="1800"/>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详情变更事件</w:t>
            </w:r>
          </w:p>
        </w:tc>
        <w:tc>
          <w:tcPr>
            <w:tcW w:type="dxa" w:w="3960"/>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转仓管理.详情变化事件.v1</w:t>
            </w:r>
          </w:p>
        </w:tc>
        <w:tc>
          <w:tcPr>
            <w:tcW w:type="dxa" w:w="446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包含事件编号、业务对象编号、数据版本和发生变化的页面区域；前端只刷新受影响信息组。</w:t>
            </w:r>
          </w:p>
        </w:tc>
      </w:tr>
    </w:tbl>
    <w:p>
      <w:pPr>
        <w:spacing w:after="0"/>
      </w:pPr>
    </w:p>
    <w:p>
      <w:pPr>
        <w:pStyle w:val="Heading2"/>
      </w:pPr>
      <w:r>
        <w:t>5.7 详情页异常边界与验收</w:t>
      </w:r>
    </w:p>
    <w:tbl>
      <w:tblPr>
        <w:tblStyle w:val="TableGrid"/>
        <w:tblW w:type="dxa" w:w="10224"/>
        <w:jc w:val="center"/>
        <w:tblLayout w:type="fixed"/>
        <w:tblLook w:firstColumn="1" w:firstRow="1" w:lastColumn="0" w:lastRow="0" w:noHBand="0" w:noVBand="1" w:val="04A0"/>
      </w:tblPr>
      <w:tblGrid>
        <w:gridCol w:w="1944"/>
        <w:gridCol w:w="8280"/>
      </w:tblGrid>
      <w:tr>
        <w:trPr>
          <w:tblHeader/>
        </w:trPr>
        <w:tc>
          <w:tcPr>
            <w:tcW w:type="dxa" w:w="1944"/>
            <w:shd w:fill="17365D"/>
            <w:tcMar>
              <w:top w:w="75" w:type="dxa"/>
              <w:start w:w="100" w:type="dxa"/>
              <w:bottom w:w="75" w:type="dxa"/>
              <w:end w:w="100" w:type="dxa"/>
            </w:tcMar>
            <w:vAlign w:val="center"/>
          </w:tcPr>
          <w:p>
            <w:r>
              <w:rPr>
                <w:rFonts w:ascii="Calibri" w:hAnsi="Calibri" w:eastAsia="Microsoft YaHei"/>
                <w:b/>
                <w:color w:val="FFFFFF"/>
                <w:sz w:val="16"/>
              </w:rPr>
              <w:t>验收ID</w:t>
            </w:r>
          </w:p>
        </w:tc>
        <w:tc>
          <w:tcPr>
            <w:tcW w:type="dxa" w:w="8280"/>
            <w:shd w:fill="17365D"/>
            <w:tcMar>
              <w:top w:w="75" w:type="dxa"/>
              <w:start w:w="100" w:type="dxa"/>
              <w:bottom w:w="75" w:type="dxa"/>
              <w:end w:w="100" w:type="dxa"/>
            </w:tcMar>
            <w:vAlign w:val="center"/>
          </w:tcPr>
          <w:p>
            <w:r>
              <w:rPr>
                <w:rFonts w:ascii="Calibri" w:hAnsi="Calibri" w:eastAsia="Microsoft YaHei"/>
                <w:b/>
                <w:color w:val="FFFFFF"/>
                <w:sz w:val="16"/>
              </w:rPr>
              <w:t>验收条件</w:t>
            </w:r>
          </w:p>
        </w:tc>
      </w:tr>
      <w:tr>
        <w:trPr>
          <w:cantSplit/>
        </w:trPr>
        <w:tc>
          <w:tcPr>
            <w:tcW w:type="dxa" w:w="194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OS-OPS-PRD-16-DAC01</w:t>
            </w:r>
          </w:p>
        </w:tc>
        <w:tc>
          <w:tcPr>
            <w:tcW w:type="dxa" w:w="8280"/>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从列表、业务编号或深链均能打开同一对象详情并在返回时保留列表上下文</w:t>
            </w:r>
          </w:p>
        </w:tc>
      </w:tr>
      <w:tr>
        <w:trPr>
          <w:cantSplit/>
        </w:trPr>
        <w:tc>
          <w:tcPr>
            <w:tcW w:type="dxa" w:w="194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OS-OPS-PRD-16-DAC02</w:t>
            </w:r>
          </w:p>
        </w:tc>
        <w:tc>
          <w:tcPr>
            <w:tcW w:type="dxa" w:w="8280"/>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详情覆盖新增编辑字段、系统字段、状态、责任人、关联业务、附件和操作记录</w:t>
            </w:r>
          </w:p>
        </w:tc>
      </w:tr>
      <w:tr>
        <w:trPr>
          <w:cantSplit/>
        </w:trPr>
        <w:tc>
          <w:tcPr>
            <w:tcW w:type="dxa" w:w="194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OS-OPS-PRD-16-DAC03</w:t>
            </w:r>
          </w:p>
        </w:tc>
        <w:tc>
          <w:tcPr>
            <w:tcW w:type="dxa" w:w="8280"/>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对象级和字段级权限在接口返回前生效，无权限内容不会先显示后遮盖</w:t>
            </w:r>
          </w:p>
        </w:tc>
      </w:tr>
      <w:tr>
        <w:trPr>
          <w:cantSplit/>
        </w:trPr>
        <w:tc>
          <w:tcPr>
            <w:tcW w:type="dxa" w:w="194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OS-OPS-PRD-16-DAC04</w:t>
            </w:r>
          </w:p>
        </w:tc>
        <w:tc>
          <w:tcPr>
            <w:tcW w:type="dxa" w:w="8280"/>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当前状态、时间线、操作记录和当前允许操作使用同一id与数据版本且可以相互解释</w:t>
            </w:r>
          </w:p>
        </w:tc>
      </w:tr>
      <w:tr>
        <w:trPr>
          <w:cantSplit/>
        </w:trPr>
        <w:tc>
          <w:tcPr>
            <w:tcW w:type="dxa" w:w="194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OS-OPS-PRD-16-DAC05</w:t>
            </w:r>
          </w:p>
        </w:tc>
        <w:tc>
          <w:tcPr>
            <w:tcW w:type="dxa" w:w="8280"/>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每个动作同时校验角色、数据权限范围、状态、预期数据版本和业务前置</w:t>
            </w:r>
          </w:p>
        </w:tc>
      </w:tr>
      <w:tr>
        <w:trPr>
          <w:cantSplit/>
        </w:trPr>
        <w:tc>
          <w:tcPr>
            <w:tcW w:type="dxa" w:w="194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OS-OPS-PRD-16-DAC06</w:t>
            </w:r>
          </w:p>
        </w:tc>
        <w:tc>
          <w:tcPr>
            <w:tcW w:type="dxa" w:w="8280"/>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关联对象数量、列表和跳转目标一致，目标对象无权时不泄露敏感摘要</w:t>
            </w:r>
          </w:p>
        </w:tc>
      </w:tr>
      <w:tr>
        <w:trPr>
          <w:cantSplit/>
        </w:trPr>
        <w:tc>
          <w:tcPr>
            <w:tcW w:type="dxa" w:w="194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OS-OPS-PRD-16-DAC07</w:t>
            </w:r>
          </w:p>
        </w:tc>
        <w:tc>
          <w:tcPr>
            <w:tcW w:type="dxa" w:w="8280"/>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附件预览下载校验扫描状态和权限并形成审计</w:t>
            </w:r>
          </w:p>
        </w:tc>
      </w:tr>
      <w:tr>
        <w:trPr>
          <w:cantSplit/>
        </w:trPr>
        <w:tc>
          <w:tcPr>
            <w:tcW w:type="dxa" w:w="194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OS-OPS-PRD-16-DAC08</w:t>
            </w:r>
          </w:p>
        </w:tc>
        <w:tc>
          <w:tcPr>
            <w:tcW w:type="dxa" w:w="8280"/>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409并发冲突保留未提交输入并提示最新版本，重复客户端请求编号不产生重复副作用</w:t>
            </w:r>
          </w:p>
        </w:tc>
      </w:tr>
      <w:tr>
        <w:trPr>
          <w:cantSplit/>
        </w:trPr>
        <w:tc>
          <w:tcPr>
            <w:tcW w:type="dxa" w:w="194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OS-OPS-PRD-16-DAC09</w:t>
            </w:r>
          </w:p>
        </w:tc>
        <w:tc>
          <w:tcPr>
            <w:tcW w:type="dxa" w:w="8280"/>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异步失败、第三方失败和部分成功均显示任务编号、错误与补偿入口</w:t>
            </w:r>
          </w:p>
        </w:tc>
      </w:tr>
      <w:tr>
        <w:trPr>
          <w:cantSplit/>
        </w:trPr>
        <w:tc>
          <w:tcPr>
            <w:tcW w:type="dxa" w:w="194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OS-OPS-PRD-16-DAC10</w:t>
            </w:r>
          </w:p>
        </w:tc>
        <w:tc>
          <w:tcPr>
            <w:tcW w:type="dxa" w:w="8280"/>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详情变更事件只刷新发生变化的页面区域，重新查询后各页签数据与主域一致</w:t>
            </w:r>
          </w:p>
        </w:tc>
      </w:tr>
    </w:tbl>
    <w:p>
      <w:pPr>
        <w:spacing w:after="0"/>
      </w:pPr>
    </w:p>
    <w:p>
      <w:pPr>
        <w:pStyle w:val="Heading1"/>
      </w:pPr>
      <w:r>
        <w:t>6 功能点详细设计</w:t>
      </w:r>
    </w:p>
    <w:tbl>
      <w:tblPr>
        <w:tblStyle w:val="TableGrid"/>
        <w:tblW w:type="dxa" w:w="10224"/>
        <w:jc w:val="center"/>
        <w:tblLayout w:type="fixed"/>
        <w:tblLook w:firstColumn="1" w:firstRow="1" w:lastColumn="0" w:lastRow="0" w:noHBand="0" w:noVBand="1" w:val="04A0"/>
      </w:tblPr>
      <w:tblGrid>
        <w:gridCol w:w="1800"/>
        <w:gridCol w:w="2232"/>
        <w:gridCol w:w="6192"/>
      </w:tblGrid>
      <w:tr>
        <w:trPr>
          <w:tblHeader/>
        </w:trPr>
        <w:tc>
          <w:tcPr>
            <w:tcW w:type="dxa" w:w="1800"/>
            <w:shd w:fill="17365D"/>
            <w:tcMar>
              <w:top w:w="75" w:type="dxa"/>
              <w:start w:w="100" w:type="dxa"/>
              <w:bottom w:w="75" w:type="dxa"/>
              <w:end w:w="100" w:type="dxa"/>
            </w:tcMar>
            <w:vAlign w:val="center"/>
          </w:tcPr>
          <w:p>
            <w:r>
              <w:rPr>
                <w:rFonts w:ascii="Calibri" w:hAnsi="Calibri" w:eastAsia="Microsoft YaHei"/>
                <w:b/>
                <w:color w:val="FFFFFF"/>
                <w:sz w:val="16"/>
              </w:rPr>
              <w:t>功能编号</w:t>
            </w:r>
          </w:p>
        </w:tc>
        <w:tc>
          <w:tcPr>
            <w:tcW w:type="dxa" w:w="2232"/>
            <w:shd w:fill="17365D"/>
            <w:tcMar>
              <w:top w:w="75" w:type="dxa"/>
              <w:start w:w="100" w:type="dxa"/>
              <w:bottom w:w="75" w:type="dxa"/>
              <w:end w:w="100" w:type="dxa"/>
            </w:tcMar>
            <w:vAlign w:val="center"/>
          </w:tcPr>
          <w:p>
            <w:r>
              <w:rPr>
                <w:rFonts w:ascii="Calibri" w:hAnsi="Calibri" w:eastAsia="Microsoft YaHei"/>
                <w:b/>
                <w:color w:val="FFFFFF"/>
                <w:sz w:val="16"/>
              </w:rPr>
              <w:t>功能点</w:t>
            </w:r>
          </w:p>
        </w:tc>
        <w:tc>
          <w:tcPr>
            <w:tcW w:type="dxa" w:w="6192"/>
            <w:shd w:fill="17365D"/>
            <w:tcMar>
              <w:top w:w="75" w:type="dxa"/>
              <w:start w:w="100" w:type="dxa"/>
              <w:bottom w:w="75" w:type="dxa"/>
              <w:end w:w="100" w:type="dxa"/>
            </w:tcMar>
            <w:vAlign w:val="center"/>
          </w:tcPr>
          <w:p>
            <w:r>
              <w:rPr>
                <w:rFonts w:ascii="Calibri" w:hAnsi="Calibri" w:eastAsia="Microsoft YaHei"/>
                <w:b/>
                <w:color w:val="FFFFFF"/>
                <w:sz w:val="16"/>
              </w:rPr>
              <w:t>目标</w:t>
            </w:r>
          </w:p>
        </w:tc>
      </w:tr>
      <w:tr>
        <w:trPr>
          <w:cantSplit/>
        </w:trPr>
        <w:tc>
          <w:tcPr>
            <w:tcW w:type="dxa" w:w="1800"/>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OS-OPS-PRD-16-FP01</w:t>
            </w:r>
          </w:p>
        </w:tc>
        <w:tc>
          <w:tcPr>
            <w:tcW w:type="dxa" w:w="2232"/>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新增转仓</w:t>
            </w:r>
          </w:p>
        </w:tc>
        <w:tc>
          <w:tcPr>
            <w:tcW w:type="dxa" w:w="6192"/>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校验原租约有效并实时锁定目标仓位。</w:t>
            </w:r>
          </w:p>
        </w:tc>
      </w:tr>
      <w:tr>
        <w:trPr>
          <w:cantSplit/>
        </w:trPr>
        <w:tc>
          <w:tcPr>
            <w:tcW w:type="dxa" w:w="1800"/>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OS-OPS-PRD-16-FP02</w:t>
            </w:r>
          </w:p>
        </w:tc>
        <w:tc>
          <w:tcPr>
            <w:tcW w:type="dxa" w:w="2232"/>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计算差价</w:t>
            </w:r>
          </w:p>
        </w:tc>
        <w:tc>
          <w:tcPr>
            <w:tcW w:type="dxa" w:w="6192"/>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按生效日分摊旧租金、新租金和按金。</w:t>
            </w:r>
          </w:p>
        </w:tc>
      </w:tr>
      <w:tr>
        <w:trPr>
          <w:cantSplit/>
        </w:trPr>
        <w:tc>
          <w:tcPr>
            <w:tcW w:type="dxa" w:w="1800"/>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OS-OPS-PRD-16-FP03</w:t>
            </w:r>
          </w:p>
        </w:tc>
        <w:tc>
          <w:tcPr>
            <w:tcW w:type="dxa" w:w="2232"/>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生成新订单</w:t>
            </w:r>
          </w:p>
        </w:tc>
        <w:tc>
          <w:tcPr>
            <w:tcW w:type="dxa" w:w="6192"/>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建立新SO并关联原订单和转仓单。</w:t>
            </w:r>
          </w:p>
        </w:tc>
      </w:tr>
      <w:tr>
        <w:trPr>
          <w:cantSplit/>
        </w:trPr>
        <w:tc>
          <w:tcPr>
            <w:tcW w:type="dxa" w:w="1800"/>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OS-OPS-PRD-16-FP04</w:t>
            </w:r>
          </w:p>
        </w:tc>
        <w:tc>
          <w:tcPr>
            <w:tcW w:type="dxa" w:w="2232"/>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完成交接</w:t>
            </w:r>
          </w:p>
        </w:tc>
        <w:tc>
          <w:tcPr>
            <w:tcW w:type="dxa" w:w="6192"/>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确认原仓清空、目标仓启用和钥匙权限。</w:t>
            </w:r>
          </w:p>
        </w:tc>
      </w:tr>
      <w:tr>
        <w:trPr>
          <w:cantSplit/>
        </w:trPr>
        <w:tc>
          <w:tcPr>
            <w:tcW w:type="dxa" w:w="1800"/>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OS-OPS-PRD-16-FP05</w:t>
            </w:r>
          </w:p>
        </w:tc>
        <w:tc>
          <w:tcPr>
            <w:tcW w:type="dxa" w:w="2232"/>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取消</w:t>
            </w:r>
          </w:p>
        </w:tc>
        <w:tc>
          <w:tcPr>
            <w:tcW w:type="dxa" w:w="6192"/>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释放目标仓并处理已支付差额。</w:t>
            </w:r>
          </w:p>
        </w:tc>
      </w:tr>
    </w:tbl>
    <w:p>
      <w:pPr>
        <w:spacing w:after="0"/>
      </w:pPr>
    </w:p>
    <w:p>
      <w:pPr>
        <w:pStyle w:val="Heading2"/>
      </w:pPr>
      <w:r>
        <w:t>6.1 新增转仓</w:t>
      </w:r>
    </w:p>
    <w:p>
      <w:pPr>
        <w:spacing w:after="80"/>
      </w:pPr>
      <w:r>
        <w:rPr>
          <w:rFonts w:ascii="Calibri" w:hAnsi="Calibri" w:eastAsia="Microsoft YaHei"/>
          <w:b/>
          <w:color w:val="1F2937"/>
          <w:sz w:val="19"/>
        </w:rPr>
        <w:t>功能编号：</w:t>
      </w:r>
      <w:r>
        <w:rPr>
          <w:rFonts w:ascii="Calibri" w:hAnsi="Calibri" w:eastAsia="Microsoft YaHei"/>
          <w:b w:val="0"/>
          <w:color w:val="1F2937"/>
          <w:sz w:val="19"/>
        </w:rPr>
        <w:t>OS-OPS-PRD-16-FP01。功能目的为校验原租约有效并实时锁定目标仓位。</w:t>
      </w:r>
    </w:p>
    <w:p>
      <w:pPr>
        <w:spacing w:after="80"/>
      </w:pPr>
      <w:r>
        <w:rPr>
          <w:rFonts w:ascii="Calibri" w:hAnsi="Calibri" w:eastAsia="Microsoft YaHei"/>
          <w:b/>
          <w:color w:val="1F2937"/>
          <w:sz w:val="19"/>
        </w:rPr>
        <w:t>使用角色与入口：</w:t>
      </w:r>
      <w:r>
        <w:rPr>
          <w:rFonts w:ascii="Calibri" w:hAnsi="Calibri" w:eastAsia="Microsoft YaHei"/>
          <w:b w:val="0"/>
          <w:color w:val="1F2937"/>
          <w:sz w:val="19"/>
        </w:rPr>
        <w:t>具备本模块创建权限的运营人员；从模块列表右上角新增入口或关联对象快捷入口进入。入口显示前先校验菜单权限、动作权限和数据范围。</w:t>
      </w:r>
    </w:p>
    <w:p>
      <w:pPr>
        <w:spacing w:after="80"/>
      </w:pPr>
      <w:r>
        <w:rPr>
          <w:rFonts w:ascii="Calibri" w:hAnsi="Calibri" w:eastAsia="Microsoft YaHei"/>
          <w:b/>
          <w:color w:val="1F2937"/>
          <w:sz w:val="19"/>
        </w:rPr>
        <w:t>前置条件：</w:t>
      </w:r>
      <w:r>
        <w:rPr>
          <w:rFonts w:ascii="Calibri" w:hAnsi="Calibri" w:eastAsia="Microsoft YaHei"/>
          <w:b w:val="0"/>
          <w:color w:val="1F2937"/>
          <w:sz w:val="19"/>
        </w:rPr>
        <w:t>用户登录有效并具备创建或批量权限；关联主数据有效且属于数据权限范围；页面已加载最新字典、业务配置和当前允许操作。</w:t>
      </w:r>
    </w:p>
    <w:p>
      <w:pPr>
        <w:spacing w:after="80"/>
      </w:pPr>
      <w:r>
        <w:rPr>
          <w:rFonts w:ascii="Calibri" w:hAnsi="Calibri" w:eastAsia="Microsoft YaHei"/>
          <w:b/>
          <w:color w:val="1F2937"/>
          <w:sz w:val="19"/>
        </w:rPr>
        <w:t>界面操作：</w:t>
      </w:r>
      <w:r>
        <w:rPr>
          <w:rFonts w:ascii="Calibri" w:hAnsi="Calibri" w:eastAsia="Microsoft YaHei"/>
          <w:b w:val="0"/>
          <w:color w:val="1F2937"/>
          <w:sz w:val="19"/>
        </w:rPr>
        <w:t>打开新增界面，按页面分组录入原订单、客户、原仓位、目标店铺、目标仓位、转仓日期、差价计算方式、租金差额、按金差额、新租期、新销售订单、旧单退租；关联对象使用检索选择。点击保存前完成字段级和跨字段校验。</w:t>
      </w:r>
    </w:p>
    <w:p>
      <w:pPr>
        <w:spacing w:after="80"/>
      </w:pPr>
      <w:r>
        <w:rPr>
          <w:rFonts w:ascii="Calibri" w:hAnsi="Calibri" w:eastAsia="Microsoft YaHei"/>
          <w:b/>
          <w:color w:val="1F2937"/>
          <w:sz w:val="19"/>
        </w:rPr>
        <w:t>系统处理：</w:t>
      </w:r>
      <w:r>
        <w:rPr>
          <w:rFonts w:ascii="Calibri" w:hAnsi="Calibri" w:eastAsia="Microsoft YaHei"/>
          <w:b w:val="0"/>
          <w:color w:val="1F2937"/>
          <w:sz w:val="19"/>
        </w:rPr>
        <w:t>服务端使用客户端请求编号幂等校验，在事务内生成业务编号、主对象、初始状态和审计记录；事务提交后发布领域事件。校验原租约有效并实时锁定目标仓位。</w:t>
      </w:r>
    </w:p>
    <w:p>
      <w:pPr>
        <w:spacing w:after="80"/>
      </w:pPr>
      <w:r>
        <w:rPr>
          <w:rFonts w:ascii="Calibri" w:hAnsi="Calibri" w:eastAsia="Microsoft YaHei"/>
          <w:b/>
          <w:color w:val="1F2937"/>
          <w:sz w:val="19"/>
        </w:rPr>
        <w:t>业务规则：</w:t>
      </w:r>
      <w:r>
        <w:rPr>
          <w:rFonts w:ascii="Calibri" w:hAnsi="Calibri" w:eastAsia="Microsoft YaHei"/>
          <w:b w:val="0"/>
          <w:color w:val="1F2937"/>
          <w:sz w:val="19"/>
        </w:rPr>
        <w:t>目标仓必须可用且预留未过期；原仓与目标仓不能相同。所有校验必须由服务端再次执行，前端校验只用于即时反馈。</w:t>
      </w:r>
    </w:p>
    <w:p>
      <w:pPr>
        <w:spacing w:after="80"/>
      </w:pPr>
      <w:r>
        <w:rPr>
          <w:rFonts w:ascii="Calibri" w:hAnsi="Calibri" w:eastAsia="Microsoft YaHei"/>
          <w:b/>
          <w:color w:val="1F2937"/>
          <w:sz w:val="19"/>
        </w:rPr>
        <w:t>成功结果：</w:t>
      </w:r>
      <w:r>
        <w:rPr>
          <w:rFonts w:ascii="Calibri" w:hAnsi="Calibri" w:eastAsia="Microsoft YaHei"/>
          <w:b w:val="0"/>
          <w:color w:val="1F2937"/>
          <w:sz w:val="19"/>
        </w:rPr>
        <w:t>页面提示“新增转仓成功”，刷新对象状态、数据版本、当前允许操作、关联对象和时间线；如产生异步任务，同时显示任务编号和进度入口。</w:t>
      </w:r>
    </w:p>
    <w:p>
      <w:pPr>
        <w:spacing w:after="80"/>
      </w:pPr>
      <w:r>
        <w:rPr>
          <w:rFonts w:ascii="Calibri" w:hAnsi="Calibri" w:eastAsia="Microsoft YaHei"/>
          <w:b/>
          <w:color w:val="1F2937"/>
          <w:sz w:val="19"/>
        </w:rPr>
        <w:t>异常与恢复：</w:t>
      </w:r>
      <w:r>
        <w:rPr>
          <w:rFonts w:ascii="Calibri" w:hAnsi="Calibri" w:eastAsia="Microsoft YaHei"/>
          <w:b w:val="0"/>
          <w:color w:val="1F2937"/>
          <w:sz w:val="19"/>
        </w:rPr>
        <w:t>400定位到具体字段并保留输入；403隐藏敏感内容并记录拒绝审计；409展示最新状态并要求刷新；超时先按客户端请求编号查询执行结果；部分成功展示逐项明细和补偿入口。</w:t>
      </w:r>
    </w:p>
    <w:p>
      <w:pPr>
        <w:spacing w:after="80"/>
      </w:pPr>
      <w:r>
        <w:rPr>
          <w:rFonts w:ascii="Calibri" w:hAnsi="Calibri" w:eastAsia="Microsoft YaHei"/>
          <w:b/>
          <w:color w:val="1F2937"/>
          <w:sz w:val="19"/>
        </w:rPr>
        <w:t>跨端影响：</w:t>
      </w:r>
      <w:r>
        <w:rPr>
          <w:rFonts w:ascii="Calibri" w:hAnsi="Calibri" w:eastAsia="Microsoft YaHei"/>
          <w:b w:val="0"/>
          <w:color w:val="1F2937"/>
          <w:sz w:val="19"/>
        </w:rPr>
        <w:t>客户小程序选择可转仓租约并查看报价。跨端消息只携带业务编号，接收端打开后重新鉴权并查询最新状态。</w:t>
      </w:r>
    </w:p>
    <w:p>
      <w:pPr>
        <w:spacing w:after="80"/>
      </w:pPr>
      <w:r>
        <w:rPr>
          <w:rFonts w:ascii="Calibri" w:hAnsi="Calibri" w:eastAsia="Microsoft YaHei"/>
          <w:b/>
          <w:color w:val="1F2937"/>
          <w:sz w:val="19"/>
        </w:rPr>
        <w:t>验收条件：</w:t>
      </w:r>
      <w:r>
        <w:rPr>
          <w:rFonts w:ascii="Calibri" w:hAnsi="Calibri" w:eastAsia="Microsoft YaHei"/>
          <w:b w:val="0"/>
          <w:color w:val="1F2937"/>
          <w:sz w:val="19"/>
        </w:rPr>
        <w:t>在允许状态下完成新增转仓时仅产生一次预期数据变化和一次审计记录；越权、错误状态、重复提交及版本冲突均不得产生重复对象或越级状态。</w:t>
      </w:r>
    </w:p>
    <w:p>
      <w:pPr>
        <w:pStyle w:val="Heading2"/>
      </w:pPr>
      <w:r>
        <w:t>6.2 计算差价</w:t>
      </w:r>
    </w:p>
    <w:p>
      <w:pPr>
        <w:spacing w:after="80"/>
      </w:pPr>
      <w:r>
        <w:rPr>
          <w:rFonts w:ascii="Calibri" w:hAnsi="Calibri" w:eastAsia="Microsoft YaHei"/>
          <w:b/>
          <w:color w:val="1F2937"/>
          <w:sz w:val="19"/>
        </w:rPr>
        <w:t>功能编号：</w:t>
      </w:r>
      <w:r>
        <w:rPr>
          <w:rFonts w:ascii="Calibri" w:hAnsi="Calibri" w:eastAsia="Microsoft YaHei"/>
          <w:b w:val="0"/>
          <w:color w:val="1F2937"/>
          <w:sz w:val="19"/>
        </w:rPr>
        <w:t>OS-OPS-PRD-16-FP02。功能目的为按生效日分摊旧租金、新租金和按金。</w:t>
      </w:r>
    </w:p>
    <w:p>
      <w:pPr>
        <w:spacing w:after="80"/>
      </w:pPr>
      <w:r>
        <w:rPr>
          <w:rFonts w:ascii="Calibri" w:hAnsi="Calibri" w:eastAsia="Microsoft YaHei"/>
          <w:b/>
          <w:color w:val="1F2937"/>
          <w:sz w:val="19"/>
        </w:rPr>
        <w:t>使用角色与入口：</w:t>
      </w:r>
      <w:r>
        <w:rPr>
          <w:rFonts w:ascii="Calibri" w:hAnsi="Calibri" w:eastAsia="Microsoft YaHei"/>
          <w:b w:val="0"/>
          <w:color w:val="1F2937"/>
          <w:sz w:val="19"/>
        </w:rPr>
        <w:t>当前对象负责人、被分派执行人或获授权管理员；从列表行操作、详情页主操作区或待办入口进入。入口显示前先校验菜单权限、动作权限和数据范围。</w:t>
      </w:r>
    </w:p>
    <w:p>
      <w:pPr>
        <w:spacing w:after="80"/>
      </w:pPr>
      <w:r>
        <w:rPr>
          <w:rFonts w:ascii="Calibri" w:hAnsi="Calibri" w:eastAsia="Microsoft YaHei"/>
          <w:b/>
          <w:color w:val="1F2937"/>
          <w:sz w:val="19"/>
        </w:rPr>
        <w:t>前置条件：</w:t>
      </w:r>
      <w:r>
        <w:rPr>
          <w:rFonts w:ascii="Calibri" w:hAnsi="Calibri" w:eastAsia="Microsoft YaHei"/>
          <w:b w:val="0"/>
          <w:color w:val="1F2937"/>
          <w:sz w:val="19"/>
        </w:rPr>
        <w:t>用户登录有效；目标对象存在且属于用户数据权限范围；当前状态包含该动作；页面持有最新数据版本和当前允许操作。涉及金额、库存、附件或第三方结果时必须回源确认。</w:t>
      </w:r>
    </w:p>
    <w:p>
      <w:pPr>
        <w:spacing w:after="80"/>
      </w:pPr>
      <w:r>
        <w:rPr>
          <w:rFonts w:ascii="Calibri" w:hAnsi="Calibri" w:eastAsia="Microsoft YaHei"/>
          <w:b/>
          <w:color w:val="1F2937"/>
          <w:sz w:val="19"/>
        </w:rPr>
        <w:t>界面操作：</w:t>
      </w:r>
      <w:r>
        <w:rPr>
          <w:rFonts w:ascii="Calibri" w:hAnsi="Calibri" w:eastAsia="Microsoft YaHei"/>
          <w:b w:val="0"/>
          <w:color w:val="1F2937"/>
          <w:sz w:val="19"/>
        </w:rPr>
        <w:t>在详情页执行计算差价，填写或核对原订单、客户、目标店铺、转仓日期、新销售订单、交接负责人、备注、转仓编号、产生新销售订单；界面随步骤显示当前节点、下一步和可撤回条件。</w:t>
      </w:r>
    </w:p>
    <w:p>
      <w:pPr>
        <w:spacing w:after="80"/>
      </w:pPr>
      <w:r>
        <w:rPr>
          <w:rFonts w:ascii="Calibri" w:hAnsi="Calibri" w:eastAsia="Microsoft YaHei"/>
          <w:b/>
          <w:color w:val="1F2937"/>
          <w:sz w:val="19"/>
        </w:rPr>
        <w:t>系统处理：</w:t>
      </w:r>
      <w:r>
        <w:rPr>
          <w:rFonts w:ascii="Calibri" w:hAnsi="Calibri" w:eastAsia="Microsoft YaHei"/>
          <w:b w:val="0"/>
          <w:color w:val="1F2937"/>
          <w:sz w:val="19"/>
        </w:rPr>
        <w:t>服务端调用POST /ops/v1/transfers/{id}/actions/{action}，校验权限、当前状态、预期数据版本和业务不变量，在事务中写入状态及时间线。按生效日分摊旧租金、新租金和按金。</w:t>
      </w:r>
    </w:p>
    <w:p>
      <w:pPr>
        <w:spacing w:after="80"/>
      </w:pPr>
      <w:r>
        <w:rPr>
          <w:rFonts w:ascii="Calibri" w:hAnsi="Calibri" w:eastAsia="Microsoft YaHei"/>
          <w:b/>
          <w:color w:val="1F2937"/>
          <w:sz w:val="19"/>
        </w:rPr>
        <w:t>业务规则：</w:t>
      </w:r>
      <w:r>
        <w:rPr>
          <w:rFonts w:ascii="Calibri" w:hAnsi="Calibri" w:eastAsia="Microsoft YaHei"/>
          <w:b w:val="0"/>
          <w:color w:val="1F2937"/>
          <w:sz w:val="19"/>
        </w:rPr>
        <w:t>差价计算保存参数和结果快照。所有校验必须由服务端再次执行，前端校验只用于即时反馈。</w:t>
      </w:r>
    </w:p>
    <w:p>
      <w:pPr>
        <w:spacing w:after="80"/>
      </w:pPr>
      <w:r>
        <w:rPr>
          <w:rFonts w:ascii="Calibri" w:hAnsi="Calibri" w:eastAsia="Microsoft YaHei"/>
          <w:b/>
          <w:color w:val="1F2937"/>
          <w:sz w:val="19"/>
        </w:rPr>
        <w:t>成功结果：</w:t>
      </w:r>
      <w:r>
        <w:rPr>
          <w:rFonts w:ascii="Calibri" w:hAnsi="Calibri" w:eastAsia="Microsoft YaHei"/>
          <w:b w:val="0"/>
          <w:color w:val="1F2937"/>
          <w:sz w:val="19"/>
        </w:rPr>
        <w:t>页面提示“计算差价成功”，刷新对象状态、数据版本、当前允许操作、关联对象和时间线；如产生异步任务，同时显示任务编号和进度入口。</w:t>
      </w:r>
    </w:p>
    <w:p>
      <w:pPr>
        <w:spacing w:after="80"/>
      </w:pPr>
      <w:r>
        <w:rPr>
          <w:rFonts w:ascii="Calibri" w:hAnsi="Calibri" w:eastAsia="Microsoft YaHei"/>
          <w:b/>
          <w:color w:val="1F2937"/>
          <w:sz w:val="19"/>
        </w:rPr>
        <w:t>异常与恢复：</w:t>
      </w:r>
      <w:r>
        <w:rPr>
          <w:rFonts w:ascii="Calibri" w:hAnsi="Calibri" w:eastAsia="Microsoft YaHei"/>
          <w:b w:val="0"/>
          <w:color w:val="1F2937"/>
          <w:sz w:val="19"/>
        </w:rPr>
        <w:t>400定位到具体字段并保留输入；403隐藏敏感内容并记录拒绝审计；409展示最新状态并要求刷新；超时先按客户端请求编号查询执行结果；部分成功展示逐项明细和补偿入口。</w:t>
      </w:r>
    </w:p>
    <w:p>
      <w:pPr>
        <w:spacing w:after="80"/>
      </w:pPr>
      <w:r>
        <w:rPr>
          <w:rFonts w:ascii="Calibri" w:hAnsi="Calibri" w:eastAsia="Microsoft YaHei"/>
          <w:b/>
          <w:color w:val="1F2937"/>
          <w:sz w:val="19"/>
        </w:rPr>
        <w:t>跨端影响：</w:t>
      </w:r>
      <w:r>
        <w:rPr>
          <w:rFonts w:ascii="Calibri" w:hAnsi="Calibri" w:eastAsia="Microsoft YaHei"/>
          <w:b w:val="0"/>
          <w:color w:val="1F2937"/>
          <w:sz w:val="19"/>
        </w:rPr>
        <w:t>客户确认后完成新合同签署和差价支付。跨端消息只携带业务编号，接收端打开后重新鉴权并查询最新状态。</w:t>
      </w:r>
    </w:p>
    <w:p>
      <w:pPr>
        <w:spacing w:after="80"/>
      </w:pPr>
      <w:r>
        <w:rPr>
          <w:rFonts w:ascii="Calibri" w:hAnsi="Calibri" w:eastAsia="Microsoft YaHei"/>
          <w:b/>
          <w:color w:val="1F2937"/>
          <w:sz w:val="19"/>
        </w:rPr>
        <w:t>验收条件：</w:t>
      </w:r>
      <w:r>
        <w:rPr>
          <w:rFonts w:ascii="Calibri" w:hAnsi="Calibri" w:eastAsia="Microsoft YaHei"/>
          <w:b w:val="0"/>
          <w:color w:val="1F2937"/>
          <w:sz w:val="19"/>
        </w:rPr>
        <w:t>在允许状态下完成计算差价时仅产生一次预期数据变化和一次审计记录；越权、错误状态、重复提交及版本冲突均不得产生重复对象或越级状态。</w:t>
      </w:r>
    </w:p>
    <w:p>
      <w:pPr>
        <w:pStyle w:val="Heading2"/>
      </w:pPr>
      <w:r>
        <w:t>6.3 生成新订单</w:t>
      </w:r>
    </w:p>
    <w:p>
      <w:pPr>
        <w:spacing w:after="80"/>
      </w:pPr>
      <w:r>
        <w:rPr>
          <w:rFonts w:ascii="Calibri" w:hAnsi="Calibri" w:eastAsia="Microsoft YaHei"/>
          <w:b/>
          <w:color w:val="1F2937"/>
          <w:sz w:val="19"/>
        </w:rPr>
        <w:t>功能编号：</w:t>
      </w:r>
      <w:r>
        <w:rPr>
          <w:rFonts w:ascii="Calibri" w:hAnsi="Calibri" w:eastAsia="Microsoft YaHei"/>
          <w:b w:val="0"/>
          <w:color w:val="1F2937"/>
          <w:sz w:val="19"/>
        </w:rPr>
        <w:t>OS-OPS-PRD-16-FP03。功能目的为建立新SO并关联原订单和转仓单。</w:t>
      </w:r>
    </w:p>
    <w:p>
      <w:pPr>
        <w:spacing w:after="80"/>
      </w:pPr>
      <w:r>
        <w:rPr>
          <w:rFonts w:ascii="Calibri" w:hAnsi="Calibri" w:eastAsia="Microsoft YaHei"/>
          <w:b/>
          <w:color w:val="1F2937"/>
          <w:sz w:val="19"/>
        </w:rPr>
        <w:t>使用角色与入口：</w:t>
      </w:r>
      <w:r>
        <w:rPr>
          <w:rFonts w:ascii="Calibri" w:hAnsi="Calibri" w:eastAsia="Microsoft YaHei"/>
          <w:b w:val="0"/>
          <w:color w:val="1F2937"/>
          <w:sz w:val="19"/>
        </w:rPr>
        <w:t>具备本模块创建权限的运营人员；从模块列表右上角新增入口或关联对象快捷入口进入。入口显示前先校验菜单权限、动作权限和数据范围。</w:t>
      </w:r>
    </w:p>
    <w:p>
      <w:pPr>
        <w:spacing w:after="80"/>
      </w:pPr>
      <w:r>
        <w:rPr>
          <w:rFonts w:ascii="Calibri" w:hAnsi="Calibri" w:eastAsia="Microsoft YaHei"/>
          <w:b/>
          <w:color w:val="1F2937"/>
          <w:sz w:val="19"/>
        </w:rPr>
        <w:t>前置条件：</w:t>
      </w:r>
      <w:r>
        <w:rPr>
          <w:rFonts w:ascii="Calibri" w:hAnsi="Calibri" w:eastAsia="Microsoft YaHei"/>
          <w:b w:val="0"/>
          <w:color w:val="1F2937"/>
          <w:sz w:val="19"/>
        </w:rPr>
        <w:t>用户登录有效并具备创建或批量权限；关联主数据有效且属于数据权限范围；页面已加载最新字典、业务配置和当前允许操作。</w:t>
      </w:r>
    </w:p>
    <w:p>
      <w:pPr>
        <w:spacing w:after="80"/>
      </w:pPr>
      <w:r>
        <w:rPr>
          <w:rFonts w:ascii="Calibri" w:hAnsi="Calibri" w:eastAsia="Microsoft YaHei"/>
          <w:b/>
          <w:color w:val="1F2937"/>
          <w:sz w:val="19"/>
        </w:rPr>
        <w:t>界面操作：</w:t>
      </w:r>
      <w:r>
        <w:rPr>
          <w:rFonts w:ascii="Calibri" w:hAnsi="Calibri" w:eastAsia="Microsoft YaHei"/>
          <w:b w:val="0"/>
          <w:color w:val="1F2937"/>
          <w:sz w:val="19"/>
        </w:rPr>
        <w:t>打开新增界面，按页面分组录入原订单、客户、原仓位、目标店铺、目标仓位、转仓日期、差价计算方式、租金差额、按金差额、新租期、新销售订单、旧单退租；关联对象使用检索选择。点击保存前完成字段级和跨字段校验。</w:t>
      </w:r>
    </w:p>
    <w:p>
      <w:pPr>
        <w:spacing w:after="80"/>
      </w:pPr>
      <w:r>
        <w:rPr>
          <w:rFonts w:ascii="Calibri" w:hAnsi="Calibri" w:eastAsia="Microsoft YaHei"/>
          <w:b/>
          <w:color w:val="1F2937"/>
          <w:sz w:val="19"/>
        </w:rPr>
        <w:t>系统处理：</w:t>
      </w:r>
      <w:r>
        <w:rPr>
          <w:rFonts w:ascii="Calibri" w:hAnsi="Calibri" w:eastAsia="Microsoft YaHei"/>
          <w:b w:val="0"/>
          <w:color w:val="1F2937"/>
          <w:sz w:val="19"/>
        </w:rPr>
        <w:t>服务端使用客户端请求编号幂等校验，在事务内生成业务编号、主对象、初始状态和审计记录；事务提交后发布领域事件。建立新SO并关联原订单和转仓单。</w:t>
      </w:r>
    </w:p>
    <w:p>
      <w:pPr>
        <w:spacing w:after="80"/>
      </w:pPr>
      <w:r>
        <w:rPr>
          <w:rFonts w:ascii="Calibri" w:hAnsi="Calibri" w:eastAsia="Microsoft YaHei"/>
          <w:b/>
          <w:color w:val="1F2937"/>
          <w:sz w:val="19"/>
        </w:rPr>
        <w:t>业务规则：</w:t>
      </w:r>
      <w:r>
        <w:rPr>
          <w:rFonts w:ascii="Calibri" w:hAnsi="Calibri" w:eastAsia="Microsoft YaHei"/>
          <w:b w:val="0"/>
          <w:color w:val="1F2937"/>
          <w:sz w:val="19"/>
        </w:rPr>
        <w:t>目标仓必须可用且预留未过期；原仓与目标仓不能相同。所有校验必须由服务端再次执行，前端校验只用于即时反馈。</w:t>
      </w:r>
    </w:p>
    <w:p>
      <w:pPr>
        <w:spacing w:after="80"/>
      </w:pPr>
      <w:r>
        <w:rPr>
          <w:rFonts w:ascii="Calibri" w:hAnsi="Calibri" w:eastAsia="Microsoft YaHei"/>
          <w:b/>
          <w:color w:val="1F2937"/>
          <w:sz w:val="19"/>
        </w:rPr>
        <w:t>成功结果：</w:t>
      </w:r>
      <w:r>
        <w:rPr>
          <w:rFonts w:ascii="Calibri" w:hAnsi="Calibri" w:eastAsia="Microsoft YaHei"/>
          <w:b w:val="0"/>
          <w:color w:val="1F2937"/>
          <w:sz w:val="19"/>
        </w:rPr>
        <w:t>页面提示“生成新订单成功”，刷新对象状态、数据版本、当前允许操作、关联对象和时间线；如产生异步任务，同时显示任务编号和进度入口。</w:t>
      </w:r>
    </w:p>
    <w:p>
      <w:pPr>
        <w:spacing w:after="80"/>
      </w:pPr>
      <w:r>
        <w:rPr>
          <w:rFonts w:ascii="Calibri" w:hAnsi="Calibri" w:eastAsia="Microsoft YaHei"/>
          <w:b/>
          <w:color w:val="1F2937"/>
          <w:sz w:val="19"/>
        </w:rPr>
        <w:t>异常与恢复：</w:t>
      </w:r>
      <w:r>
        <w:rPr>
          <w:rFonts w:ascii="Calibri" w:hAnsi="Calibri" w:eastAsia="Microsoft YaHei"/>
          <w:b w:val="0"/>
          <w:color w:val="1F2937"/>
          <w:sz w:val="19"/>
        </w:rPr>
        <w:t>400定位到具体字段并保留输入；403隐藏敏感内容并记录拒绝审计；409展示最新状态并要求刷新；超时先按客户端请求编号查询执行结果；部分成功展示逐项明细和补偿入口。</w:t>
      </w:r>
    </w:p>
    <w:p>
      <w:pPr>
        <w:spacing w:after="80"/>
      </w:pPr>
      <w:r>
        <w:rPr>
          <w:rFonts w:ascii="Calibri" w:hAnsi="Calibri" w:eastAsia="Microsoft YaHei"/>
          <w:b/>
          <w:color w:val="1F2937"/>
          <w:sz w:val="19"/>
        </w:rPr>
        <w:t>跨端影响：</w:t>
      </w:r>
      <w:r>
        <w:rPr>
          <w:rFonts w:ascii="Calibri" w:hAnsi="Calibri" w:eastAsia="Microsoft YaHei"/>
          <w:b w:val="0"/>
          <w:color w:val="1F2937"/>
          <w:sz w:val="19"/>
        </w:rPr>
        <w:t>工单小程序接收搬仓和查仓任务。跨端消息只携带业务编号，接收端打开后重新鉴权并查询最新状态。</w:t>
      </w:r>
    </w:p>
    <w:p>
      <w:pPr>
        <w:spacing w:after="80"/>
      </w:pPr>
      <w:r>
        <w:rPr>
          <w:rFonts w:ascii="Calibri" w:hAnsi="Calibri" w:eastAsia="Microsoft YaHei"/>
          <w:b/>
          <w:color w:val="1F2937"/>
          <w:sz w:val="19"/>
        </w:rPr>
        <w:t>验收条件：</w:t>
      </w:r>
      <w:r>
        <w:rPr>
          <w:rFonts w:ascii="Calibri" w:hAnsi="Calibri" w:eastAsia="Microsoft YaHei"/>
          <w:b w:val="0"/>
          <w:color w:val="1F2937"/>
          <w:sz w:val="19"/>
        </w:rPr>
        <w:t>在允许状态下完成生成新订单时仅产生一次预期数据变化和一次审计记录；越权、错误状态、重复提交及版本冲突均不得产生重复对象或越级状态。</w:t>
      </w:r>
    </w:p>
    <w:p>
      <w:pPr>
        <w:pStyle w:val="Heading2"/>
      </w:pPr>
      <w:r>
        <w:t>6.4 完成交接</w:t>
      </w:r>
    </w:p>
    <w:p>
      <w:pPr>
        <w:spacing w:after="80"/>
      </w:pPr>
      <w:r>
        <w:rPr>
          <w:rFonts w:ascii="Calibri" w:hAnsi="Calibri" w:eastAsia="Microsoft YaHei"/>
          <w:b/>
          <w:color w:val="1F2937"/>
          <w:sz w:val="19"/>
        </w:rPr>
        <w:t>功能编号：</w:t>
      </w:r>
      <w:r>
        <w:rPr>
          <w:rFonts w:ascii="Calibri" w:hAnsi="Calibri" w:eastAsia="Microsoft YaHei"/>
          <w:b w:val="0"/>
          <w:color w:val="1F2937"/>
          <w:sz w:val="19"/>
        </w:rPr>
        <w:t>OS-OPS-PRD-16-FP04。功能目的为确认原仓清空、目标仓启用和钥匙权限。</w:t>
      </w:r>
    </w:p>
    <w:p>
      <w:pPr>
        <w:spacing w:after="80"/>
      </w:pPr>
      <w:r>
        <w:rPr>
          <w:rFonts w:ascii="Calibri" w:hAnsi="Calibri" w:eastAsia="Microsoft YaHei"/>
          <w:b/>
          <w:color w:val="1F2937"/>
          <w:sz w:val="19"/>
        </w:rPr>
        <w:t>使用角色与入口：</w:t>
      </w:r>
      <w:r>
        <w:rPr>
          <w:rFonts w:ascii="Calibri" w:hAnsi="Calibri" w:eastAsia="Microsoft YaHei"/>
          <w:b w:val="0"/>
          <w:color w:val="1F2937"/>
          <w:sz w:val="19"/>
        </w:rPr>
        <w:t>当前对象负责人、被分派执行人或获授权管理员；从列表行操作、详情页主操作区或待办入口进入。入口显示前先校验菜单权限、动作权限和数据范围。</w:t>
      </w:r>
    </w:p>
    <w:p>
      <w:pPr>
        <w:spacing w:after="80"/>
      </w:pPr>
      <w:r>
        <w:rPr>
          <w:rFonts w:ascii="Calibri" w:hAnsi="Calibri" w:eastAsia="Microsoft YaHei"/>
          <w:b/>
          <w:color w:val="1F2937"/>
          <w:sz w:val="19"/>
        </w:rPr>
        <w:t>前置条件：</w:t>
      </w:r>
      <w:r>
        <w:rPr>
          <w:rFonts w:ascii="Calibri" w:hAnsi="Calibri" w:eastAsia="Microsoft YaHei"/>
          <w:b w:val="0"/>
          <w:color w:val="1F2937"/>
          <w:sz w:val="19"/>
        </w:rPr>
        <w:t>用户登录有效；目标对象存在且属于用户数据权限范围；当前状态包含该动作；页面持有最新数据版本和当前允许操作。涉及金额、库存、附件或第三方结果时必须回源确认。</w:t>
      </w:r>
    </w:p>
    <w:p>
      <w:pPr>
        <w:spacing w:after="80"/>
      </w:pPr>
      <w:r>
        <w:rPr>
          <w:rFonts w:ascii="Calibri" w:hAnsi="Calibri" w:eastAsia="Microsoft YaHei"/>
          <w:b/>
          <w:color w:val="1F2937"/>
          <w:sz w:val="19"/>
        </w:rPr>
        <w:t>界面操作：</w:t>
      </w:r>
      <w:r>
        <w:rPr>
          <w:rFonts w:ascii="Calibri" w:hAnsi="Calibri" w:eastAsia="Microsoft YaHei"/>
          <w:b w:val="0"/>
          <w:color w:val="1F2937"/>
          <w:sz w:val="19"/>
        </w:rPr>
        <w:t>在详情页执行完成交接，填写或核对原订单、客户、目标店铺、转仓日期、新销售订单、交接负责人、备注、转仓编号、产生新销售订单；界面随步骤显示当前节点、下一步和可撤回条件。</w:t>
      </w:r>
    </w:p>
    <w:p>
      <w:pPr>
        <w:spacing w:after="80"/>
      </w:pPr>
      <w:r>
        <w:rPr>
          <w:rFonts w:ascii="Calibri" w:hAnsi="Calibri" w:eastAsia="Microsoft YaHei"/>
          <w:b/>
          <w:color w:val="1F2937"/>
          <w:sz w:val="19"/>
        </w:rPr>
        <w:t>系统处理：</w:t>
      </w:r>
      <w:r>
        <w:rPr>
          <w:rFonts w:ascii="Calibri" w:hAnsi="Calibri" w:eastAsia="Microsoft YaHei"/>
          <w:b w:val="0"/>
          <w:color w:val="1F2937"/>
          <w:sz w:val="19"/>
        </w:rPr>
        <w:t>服务端调用POST /ops/v1/transfers/{id}/actions/{action}，校验权限、当前状态、预期数据版本和业务不变量，在事务中写入状态及时间线。确认原仓清空、目标仓启用和钥匙权限。</w:t>
      </w:r>
    </w:p>
    <w:p>
      <w:pPr>
        <w:spacing w:after="80"/>
      </w:pPr>
      <w:r>
        <w:rPr>
          <w:rFonts w:ascii="Calibri" w:hAnsi="Calibri" w:eastAsia="Microsoft YaHei"/>
          <w:b/>
          <w:color w:val="1F2937"/>
          <w:sz w:val="19"/>
        </w:rPr>
        <w:t>业务规则：</w:t>
      </w:r>
      <w:r>
        <w:rPr>
          <w:rFonts w:ascii="Calibri" w:hAnsi="Calibri" w:eastAsia="Microsoft YaHei"/>
          <w:b w:val="0"/>
          <w:color w:val="1F2937"/>
          <w:sz w:val="19"/>
        </w:rPr>
        <w:t>完成时原仓转待清仓，目标仓转已租用。所有校验必须由服务端再次执行，前端校验只用于即时反馈。</w:t>
      </w:r>
    </w:p>
    <w:p>
      <w:pPr>
        <w:spacing w:after="80"/>
      </w:pPr>
      <w:r>
        <w:rPr>
          <w:rFonts w:ascii="Calibri" w:hAnsi="Calibri" w:eastAsia="Microsoft YaHei"/>
          <w:b/>
          <w:color w:val="1F2937"/>
          <w:sz w:val="19"/>
        </w:rPr>
        <w:t>成功结果：</w:t>
      </w:r>
      <w:r>
        <w:rPr>
          <w:rFonts w:ascii="Calibri" w:hAnsi="Calibri" w:eastAsia="Microsoft YaHei"/>
          <w:b w:val="0"/>
          <w:color w:val="1F2937"/>
          <w:sz w:val="19"/>
        </w:rPr>
        <w:t>页面提示“完成交接成功”，刷新对象状态、数据版本、当前允许操作、关联对象和时间线；如产生异步任务，同时显示任务编号和进度入口。</w:t>
      </w:r>
    </w:p>
    <w:p>
      <w:pPr>
        <w:spacing w:after="80"/>
      </w:pPr>
      <w:r>
        <w:rPr>
          <w:rFonts w:ascii="Calibri" w:hAnsi="Calibri" w:eastAsia="Microsoft YaHei"/>
          <w:b/>
          <w:color w:val="1F2937"/>
          <w:sz w:val="19"/>
        </w:rPr>
        <w:t>异常与恢复：</w:t>
      </w:r>
      <w:r>
        <w:rPr>
          <w:rFonts w:ascii="Calibri" w:hAnsi="Calibri" w:eastAsia="Microsoft YaHei"/>
          <w:b w:val="0"/>
          <w:color w:val="1F2937"/>
          <w:sz w:val="19"/>
        </w:rPr>
        <w:t>400定位到具体字段并保留输入；403隐藏敏感内容并记录拒绝审计；409展示最新状态并要求刷新；超时先按客户端请求编号查询执行结果；部分成功展示逐项明细和补偿入口。</w:t>
      </w:r>
    </w:p>
    <w:p>
      <w:pPr>
        <w:spacing w:after="80"/>
      </w:pPr>
      <w:r>
        <w:rPr>
          <w:rFonts w:ascii="Calibri" w:hAnsi="Calibri" w:eastAsia="Microsoft YaHei"/>
          <w:b/>
          <w:color w:val="1F2937"/>
          <w:sz w:val="19"/>
        </w:rPr>
        <w:t>跨端影响：</w:t>
      </w:r>
      <w:r>
        <w:rPr>
          <w:rFonts w:ascii="Calibri" w:hAnsi="Calibri" w:eastAsia="Microsoft YaHei"/>
          <w:b w:val="0"/>
          <w:color w:val="1F2937"/>
          <w:sz w:val="19"/>
        </w:rPr>
        <w:t>客户小程序选择可转仓租约并查看报价。跨端消息只携带业务编号，接收端打开后重新鉴权并查询最新状态。</w:t>
      </w:r>
    </w:p>
    <w:p>
      <w:pPr>
        <w:spacing w:after="80"/>
      </w:pPr>
      <w:r>
        <w:rPr>
          <w:rFonts w:ascii="Calibri" w:hAnsi="Calibri" w:eastAsia="Microsoft YaHei"/>
          <w:b/>
          <w:color w:val="1F2937"/>
          <w:sz w:val="19"/>
        </w:rPr>
        <w:t>验收条件：</w:t>
      </w:r>
      <w:r>
        <w:rPr>
          <w:rFonts w:ascii="Calibri" w:hAnsi="Calibri" w:eastAsia="Microsoft YaHei"/>
          <w:b w:val="0"/>
          <w:color w:val="1F2937"/>
          <w:sz w:val="19"/>
        </w:rPr>
        <w:t>在允许状态下完成完成交接时仅产生一次预期数据变化和一次审计记录；越权、错误状态、重复提交及版本冲突均不得产生重复对象或越级状态。</w:t>
      </w:r>
    </w:p>
    <w:p>
      <w:pPr>
        <w:pStyle w:val="Heading2"/>
      </w:pPr>
      <w:r>
        <w:t>6.5 取消</w:t>
      </w:r>
    </w:p>
    <w:p>
      <w:pPr>
        <w:spacing w:after="80"/>
      </w:pPr>
      <w:r>
        <w:rPr>
          <w:rFonts w:ascii="Calibri" w:hAnsi="Calibri" w:eastAsia="Microsoft YaHei"/>
          <w:b/>
          <w:color w:val="1F2937"/>
          <w:sz w:val="19"/>
        </w:rPr>
        <w:t>功能编号：</w:t>
      </w:r>
      <w:r>
        <w:rPr>
          <w:rFonts w:ascii="Calibri" w:hAnsi="Calibri" w:eastAsia="Microsoft YaHei"/>
          <w:b w:val="0"/>
          <w:color w:val="1F2937"/>
          <w:sz w:val="19"/>
        </w:rPr>
        <w:t>OS-OPS-PRD-16-FP05。功能目的为释放目标仓并处理已支付差额。</w:t>
      </w:r>
    </w:p>
    <w:p>
      <w:pPr>
        <w:spacing w:after="80"/>
      </w:pPr>
      <w:r>
        <w:rPr>
          <w:rFonts w:ascii="Calibri" w:hAnsi="Calibri" w:eastAsia="Microsoft YaHei"/>
          <w:b/>
          <w:color w:val="1F2937"/>
          <w:sz w:val="19"/>
        </w:rPr>
        <w:t>使用角色与入口：</w:t>
      </w:r>
      <w:r>
        <w:rPr>
          <w:rFonts w:ascii="Calibri" w:hAnsi="Calibri" w:eastAsia="Microsoft YaHei"/>
          <w:b w:val="0"/>
          <w:color w:val="1F2937"/>
          <w:sz w:val="19"/>
        </w:rPr>
        <w:t>对象负责人或具备状态管理权限的管理员；从列表行操作或详情页状态动作区进入。入口显示前先校验菜单权限、动作权限和数据范围。</w:t>
      </w:r>
    </w:p>
    <w:p>
      <w:pPr>
        <w:spacing w:after="80"/>
      </w:pPr>
      <w:r>
        <w:rPr>
          <w:rFonts w:ascii="Calibri" w:hAnsi="Calibri" w:eastAsia="Microsoft YaHei"/>
          <w:b/>
          <w:color w:val="1F2937"/>
          <w:sz w:val="19"/>
        </w:rPr>
        <w:t>前置条件：</w:t>
      </w:r>
      <w:r>
        <w:rPr>
          <w:rFonts w:ascii="Calibri" w:hAnsi="Calibri" w:eastAsia="Microsoft YaHei"/>
          <w:b w:val="0"/>
          <w:color w:val="1F2937"/>
          <w:sz w:val="19"/>
        </w:rPr>
        <w:t>用户登录有效；目标对象存在且属于用户数据权限范围；当前状态包含该动作；页面持有最新数据版本和当前允许操作。涉及金额、库存、附件或第三方结果时必须回源确认。</w:t>
      </w:r>
    </w:p>
    <w:p>
      <w:pPr>
        <w:spacing w:after="80"/>
      </w:pPr>
      <w:r>
        <w:rPr>
          <w:rFonts w:ascii="Calibri" w:hAnsi="Calibri" w:eastAsia="Microsoft YaHei"/>
          <w:b/>
          <w:color w:val="1F2937"/>
          <w:sz w:val="19"/>
        </w:rPr>
        <w:t>界面操作：</w:t>
      </w:r>
      <w:r>
        <w:rPr>
          <w:rFonts w:ascii="Calibri" w:hAnsi="Calibri" w:eastAsia="Microsoft YaHei"/>
          <w:b w:val="0"/>
          <w:color w:val="1F2937"/>
          <w:sz w:val="19"/>
        </w:rPr>
        <w:t>在详情或行操作中触发取消，界面展示当前状态、目标状态、影响范围和原因；高风险动作二次确认。</w:t>
      </w:r>
    </w:p>
    <w:p>
      <w:pPr>
        <w:spacing w:after="80"/>
      </w:pPr>
      <w:r>
        <w:rPr>
          <w:rFonts w:ascii="Calibri" w:hAnsi="Calibri" w:eastAsia="Microsoft YaHei"/>
          <w:b/>
          <w:color w:val="1F2937"/>
          <w:sz w:val="19"/>
        </w:rPr>
        <w:t>系统处理：</w:t>
      </w:r>
      <w:r>
        <w:rPr>
          <w:rFonts w:ascii="Calibri" w:hAnsi="Calibri" w:eastAsia="Microsoft YaHei"/>
          <w:b w:val="0"/>
          <w:color w:val="1F2937"/>
          <w:sz w:val="19"/>
        </w:rPr>
        <w:t>服务端调用POST /ops/v1/transfers/{id}/actions/{action}，校验权限、当前状态、预期数据版本和业务不变量，在事务中写入状态及时间线。释放目标仓并处理已支付差额。</w:t>
      </w:r>
    </w:p>
    <w:p>
      <w:pPr>
        <w:spacing w:after="80"/>
      </w:pPr>
      <w:r>
        <w:rPr>
          <w:rFonts w:ascii="Calibri" w:hAnsi="Calibri" w:eastAsia="Microsoft YaHei"/>
          <w:b/>
          <w:color w:val="1F2937"/>
          <w:sz w:val="19"/>
        </w:rPr>
        <w:t>业务规则：</w:t>
      </w:r>
      <w:r>
        <w:rPr>
          <w:rFonts w:ascii="Calibri" w:hAnsi="Calibri" w:eastAsia="Microsoft YaHei"/>
          <w:b w:val="0"/>
          <w:color w:val="1F2937"/>
          <w:sz w:val="19"/>
        </w:rPr>
        <w:t>目标仓必须可用且预留未过期；原仓与目标仓不能相同。所有校验必须由服务端再次执行，前端校验只用于即时反馈。</w:t>
      </w:r>
    </w:p>
    <w:p>
      <w:pPr>
        <w:spacing w:after="80"/>
      </w:pPr>
      <w:r>
        <w:rPr>
          <w:rFonts w:ascii="Calibri" w:hAnsi="Calibri" w:eastAsia="Microsoft YaHei"/>
          <w:b/>
          <w:color w:val="1F2937"/>
          <w:sz w:val="19"/>
        </w:rPr>
        <w:t>成功结果：</w:t>
      </w:r>
      <w:r>
        <w:rPr>
          <w:rFonts w:ascii="Calibri" w:hAnsi="Calibri" w:eastAsia="Microsoft YaHei"/>
          <w:b w:val="0"/>
          <w:color w:val="1F2937"/>
          <w:sz w:val="19"/>
        </w:rPr>
        <w:t>页面提示“取消成功”，刷新对象状态、数据版本、当前允许操作、关联对象和时间线；如产生异步任务，同时显示任务编号和进度入口。</w:t>
      </w:r>
    </w:p>
    <w:p>
      <w:pPr>
        <w:spacing w:after="80"/>
      </w:pPr>
      <w:r>
        <w:rPr>
          <w:rFonts w:ascii="Calibri" w:hAnsi="Calibri" w:eastAsia="Microsoft YaHei"/>
          <w:b/>
          <w:color w:val="1F2937"/>
          <w:sz w:val="19"/>
        </w:rPr>
        <w:t>异常与恢复：</w:t>
      </w:r>
      <w:r>
        <w:rPr>
          <w:rFonts w:ascii="Calibri" w:hAnsi="Calibri" w:eastAsia="Microsoft YaHei"/>
          <w:b w:val="0"/>
          <w:color w:val="1F2937"/>
          <w:sz w:val="19"/>
        </w:rPr>
        <w:t>400定位到具体字段并保留输入；403隐藏敏感内容并记录拒绝审计；409展示最新状态并要求刷新；超时先按客户端请求编号查询执行结果；部分成功展示逐项明细和补偿入口。</w:t>
      </w:r>
    </w:p>
    <w:p>
      <w:pPr>
        <w:spacing w:after="80"/>
      </w:pPr>
      <w:r>
        <w:rPr>
          <w:rFonts w:ascii="Calibri" w:hAnsi="Calibri" w:eastAsia="Microsoft YaHei"/>
          <w:b/>
          <w:color w:val="1F2937"/>
          <w:sz w:val="19"/>
        </w:rPr>
        <w:t>跨端影响：</w:t>
      </w:r>
      <w:r>
        <w:rPr>
          <w:rFonts w:ascii="Calibri" w:hAnsi="Calibri" w:eastAsia="Microsoft YaHei"/>
          <w:b w:val="0"/>
          <w:color w:val="1F2937"/>
          <w:sz w:val="19"/>
        </w:rPr>
        <w:t>客户确认后完成新合同签署和差价支付。跨端消息只携带业务编号，接收端打开后重新鉴权并查询最新状态。</w:t>
      </w:r>
    </w:p>
    <w:p>
      <w:pPr>
        <w:spacing w:after="80"/>
      </w:pPr>
      <w:r>
        <w:rPr>
          <w:rFonts w:ascii="Calibri" w:hAnsi="Calibri" w:eastAsia="Microsoft YaHei"/>
          <w:b/>
          <w:color w:val="1F2937"/>
          <w:sz w:val="19"/>
        </w:rPr>
        <w:t>验收条件：</w:t>
      </w:r>
      <w:r>
        <w:rPr>
          <w:rFonts w:ascii="Calibri" w:hAnsi="Calibri" w:eastAsia="Microsoft YaHei"/>
          <w:b w:val="0"/>
          <w:color w:val="1F2937"/>
          <w:sz w:val="19"/>
        </w:rPr>
        <w:t>在允许状态下完成取消时仅产生一次预期数据变化和一次审计记录；越权、错误状态、重复提交及版本冲突均不得产生重复对象或越级状态。</w:t>
      </w:r>
    </w:p>
    <w:p>
      <w:pPr>
        <w:pStyle w:val="Heading2"/>
      </w:pPr>
      <w:r>
        <w:t>6.6 标准写操作时序</w:t>
      </w:r>
    </w:p>
    <w:p>
      <w:pPr>
        <w:pStyle w:val="ListBullet"/>
      </w:pPr>
      <w:r>
        <w:t>用户触发操作后，前端先校验可见字段和附件状态</w:t>
      </w:r>
    </w:p>
    <w:p>
      <w:pPr>
        <w:pStyle w:val="ListBullet"/>
      </w:pPr>
      <w:r>
        <w:t>提交客户端请求编号、预期数据版本和业务参数</w:t>
      </w:r>
    </w:p>
    <w:p>
      <w:pPr>
        <w:pStyle w:val="ListBullet"/>
      </w:pPr>
      <w:r>
        <w:t>服务端校验身份、权限、数据范围、对象状态和业务不变量</w:t>
      </w:r>
    </w:p>
    <w:p>
      <w:pPr>
        <w:pStyle w:val="ListBullet"/>
      </w:pPr>
      <w:r>
        <w:t>事务提交后返回业务编号、数据版本、状态、当前允许操作和副作用任务编号</w:t>
      </w:r>
    </w:p>
    <w:p>
      <w:pPr>
        <w:pStyle w:val="ListBullet"/>
      </w:pPr>
      <w:r>
        <w:t>前端以返回结果刷新详情；通知、搜索和统计允许最终一致</w:t>
      </w:r>
    </w:p>
    <w:p>
      <w:pPr>
        <w:pStyle w:val="ListBullet"/>
      </w:pPr>
      <w:r>
        <w:t>409版本冲突时展示最新摘要，要求用户刷新后重新操作</w:t>
      </w:r>
    </w:p>
    <w:p>
      <w:pPr>
        <w:pStyle w:val="Heading1"/>
      </w:pPr>
      <w:r>
        <w:t>7 状态机与业务规则</w:t>
      </w:r>
    </w:p>
    <w:tbl>
      <w:tblPr>
        <w:tblStyle w:val="TableGrid"/>
        <w:tblW w:type="dxa" w:w="10728"/>
        <w:jc w:val="center"/>
        <w:tblLayout w:type="fixed"/>
        <w:tblLook w:firstColumn="1" w:firstRow="1" w:lastColumn="0" w:lastRow="0" w:noHBand="0" w:noVBand="1" w:val="04A0"/>
      </w:tblPr>
      <w:tblGrid>
        <w:gridCol w:w="1944"/>
        <w:gridCol w:w="5040"/>
        <w:gridCol w:w="3744"/>
      </w:tblGrid>
      <w:tr>
        <w:trPr>
          <w:tblHeader/>
        </w:trPr>
        <w:tc>
          <w:tcPr>
            <w:tcW w:type="dxa" w:w="1944"/>
            <w:shd w:fill="17365D"/>
            <w:tcMar>
              <w:top w:w="75" w:type="dxa"/>
              <w:start w:w="100" w:type="dxa"/>
              <w:bottom w:w="75" w:type="dxa"/>
              <w:end w:w="100" w:type="dxa"/>
            </w:tcMar>
            <w:vAlign w:val="center"/>
          </w:tcPr>
          <w:p>
            <w:r>
              <w:rPr>
                <w:rFonts w:ascii="Calibri" w:hAnsi="Calibri" w:eastAsia="Microsoft YaHei"/>
                <w:b/>
                <w:color w:val="FFFFFF"/>
                <w:sz w:val="16"/>
              </w:rPr>
              <w:t>对象</w:t>
            </w:r>
          </w:p>
        </w:tc>
        <w:tc>
          <w:tcPr>
            <w:tcW w:type="dxa" w:w="5040"/>
            <w:shd w:fill="17365D"/>
            <w:tcMar>
              <w:top w:w="75" w:type="dxa"/>
              <w:start w:w="100" w:type="dxa"/>
              <w:bottom w:w="75" w:type="dxa"/>
              <w:end w:w="100" w:type="dxa"/>
            </w:tcMar>
            <w:vAlign w:val="center"/>
          </w:tcPr>
          <w:p>
            <w:r>
              <w:rPr>
                <w:rFonts w:ascii="Calibri" w:hAnsi="Calibri" w:eastAsia="Microsoft YaHei"/>
                <w:b/>
                <w:color w:val="FFFFFF"/>
                <w:sz w:val="16"/>
              </w:rPr>
              <w:t>状态流转</w:t>
            </w:r>
          </w:p>
        </w:tc>
        <w:tc>
          <w:tcPr>
            <w:tcW w:type="dxa" w:w="3744"/>
            <w:shd w:fill="17365D"/>
            <w:tcMar>
              <w:top w:w="75" w:type="dxa"/>
              <w:start w:w="100" w:type="dxa"/>
              <w:bottom w:w="75" w:type="dxa"/>
              <w:end w:w="100" w:type="dxa"/>
            </w:tcMar>
            <w:vAlign w:val="center"/>
          </w:tcPr>
          <w:p>
            <w:r>
              <w:rPr>
                <w:rFonts w:ascii="Calibri" w:hAnsi="Calibri" w:eastAsia="Microsoft YaHei"/>
                <w:b/>
                <w:color w:val="FFFFFF"/>
                <w:sz w:val="16"/>
              </w:rPr>
              <w:t>控制要求</w:t>
            </w:r>
          </w:p>
        </w:tc>
      </w:tr>
      <w:tr>
        <w:trPr>
          <w:cantSplit/>
        </w:trPr>
        <w:tc>
          <w:tcPr>
            <w:tcW w:type="dxa" w:w="194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转仓管理</w:t>
            </w:r>
          </w:p>
        </w:tc>
        <w:tc>
          <w:tcPr>
            <w:tcW w:type="dxa" w:w="5040"/>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已申请→目标仓预留→待报价确认→待签约付款→待交接→已完成；取消/异常</w:t>
            </w:r>
          </w:p>
        </w:tc>
        <w:tc>
          <w:tcPr>
            <w:tcW w:type="dxa" w:w="374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状态变化必须由明确动作触发并写入操作者、时间、原因和版本。</w:t>
            </w:r>
          </w:p>
        </w:tc>
      </w:tr>
      <w:tr>
        <w:trPr>
          <w:cantSplit/>
        </w:trPr>
        <w:tc>
          <w:tcPr>
            <w:tcW w:type="dxa" w:w="194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异步任务</w:t>
            </w:r>
          </w:p>
        </w:tc>
        <w:tc>
          <w:tcPr>
            <w:tcW w:type="dxa" w:w="5040"/>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待执行→执行中→成功/失败→重试/人工处理</w:t>
            </w:r>
          </w:p>
        </w:tc>
        <w:tc>
          <w:tcPr>
            <w:tcW w:type="dxa" w:w="374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异步失败不回滚已提交主事务，但必须可见、可重试和可审计。</w:t>
            </w:r>
          </w:p>
        </w:tc>
      </w:tr>
    </w:tbl>
    <w:p>
      <w:pPr>
        <w:spacing w:after="0"/>
      </w:pPr>
    </w:p>
    <w:tbl>
      <w:tblPr>
        <w:tblStyle w:val="TableGrid"/>
        <w:tblW w:type="dxa" w:w="10224"/>
        <w:jc w:val="center"/>
        <w:tblLayout w:type="fixed"/>
        <w:tblLook w:firstColumn="1" w:firstRow="1" w:lastColumn="0" w:lastRow="0" w:noHBand="0" w:noVBand="1" w:val="04A0"/>
      </w:tblPr>
      <w:tblGrid>
        <w:gridCol w:w="1944"/>
        <w:gridCol w:w="8280"/>
      </w:tblGrid>
      <w:tr>
        <w:trPr>
          <w:tblHeader/>
        </w:trPr>
        <w:tc>
          <w:tcPr>
            <w:tcW w:type="dxa" w:w="1944"/>
            <w:shd w:fill="17365D"/>
            <w:tcMar>
              <w:top w:w="75" w:type="dxa"/>
              <w:start w:w="100" w:type="dxa"/>
              <w:bottom w:w="75" w:type="dxa"/>
              <w:end w:w="100" w:type="dxa"/>
            </w:tcMar>
            <w:vAlign w:val="center"/>
          </w:tcPr>
          <w:p>
            <w:r>
              <w:rPr>
                <w:rFonts w:ascii="Calibri" w:hAnsi="Calibri" w:eastAsia="Microsoft YaHei"/>
                <w:b/>
                <w:color w:val="FFFFFF"/>
                <w:sz w:val="17"/>
              </w:rPr>
              <w:t>规则ID</w:t>
            </w:r>
          </w:p>
        </w:tc>
        <w:tc>
          <w:tcPr>
            <w:tcW w:type="dxa" w:w="8280"/>
            <w:shd w:fill="17365D"/>
            <w:tcMar>
              <w:top w:w="75" w:type="dxa"/>
              <w:start w:w="100" w:type="dxa"/>
              <w:bottom w:w="75" w:type="dxa"/>
              <w:end w:w="100" w:type="dxa"/>
            </w:tcMar>
            <w:vAlign w:val="center"/>
          </w:tcPr>
          <w:p>
            <w:r>
              <w:rPr>
                <w:rFonts w:ascii="Calibri" w:hAnsi="Calibri" w:eastAsia="Microsoft YaHei"/>
                <w:b/>
                <w:color w:val="FFFFFF"/>
                <w:sz w:val="17"/>
              </w:rPr>
              <w:t>业务规则</w:t>
            </w:r>
          </w:p>
        </w:tc>
      </w:tr>
      <w:tr>
        <w:trPr>
          <w:cantSplit/>
        </w:trPr>
        <w:tc>
          <w:tcPr>
            <w:tcW w:type="dxa" w:w="194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7"/>
              </w:rPr>
              <w:t>OS-OPS-PRD-16-R01</w:t>
            </w:r>
          </w:p>
        </w:tc>
        <w:tc>
          <w:tcPr>
            <w:tcW w:type="dxa" w:w="8280"/>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7"/>
              </w:rPr>
              <w:t>目标仓必须可用且预留未过期</w:t>
            </w:r>
          </w:p>
        </w:tc>
      </w:tr>
      <w:tr>
        <w:trPr>
          <w:cantSplit/>
        </w:trPr>
        <w:tc>
          <w:tcPr>
            <w:tcW w:type="dxa" w:w="194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7"/>
              </w:rPr>
              <w:t>OS-OPS-PRD-16-R02</w:t>
            </w:r>
          </w:p>
        </w:tc>
        <w:tc>
          <w:tcPr>
            <w:tcW w:type="dxa" w:w="8280"/>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7"/>
              </w:rPr>
              <w:t>原仓与目标仓不能相同</w:t>
            </w:r>
          </w:p>
        </w:tc>
      </w:tr>
      <w:tr>
        <w:trPr>
          <w:cantSplit/>
        </w:trPr>
        <w:tc>
          <w:tcPr>
            <w:tcW w:type="dxa" w:w="194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7"/>
              </w:rPr>
              <w:t>OS-OPS-PRD-16-R03</w:t>
            </w:r>
          </w:p>
        </w:tc>
        <w:tc>
          <w:tcPr>
            <w:tcW w:type="dxa" w:w="8280"/>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7"/>
              </w:rPr>
              <w:t>差价计算保存参数和结果快照</w:t>
            </w:r>
          </w:p>
        </w:tc>
      </w:tr>
      <w:tr>
        <w:trPr>
          <w:cantSplit/>
        </w:trPr>
        <w:tc>
          <w:tcPr>
            <w:tcW w:type="dxa" w:w="194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7"/>
              </w:rPr>
              <w:t>OS-OPS-PRD-16-R04</w:t>
            </w:r>
          </w:p>
        </w:tc>
        <w:tc>
          <w:tcPr>
            <w:tcW w:type="dxa" w:w="8280"/>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7"/>
              </w:rPr>
              <w:t>新合同生效前原合同保持有效</w:t>
            </w:r>
          </w:p>
        </w:tc>
      </w:tr>
      <w:tr>
        <w:trPr>
          <w:cantSplit/>
        </w:trPr>
        <w:tc>
          <w:tcPr>
            <w:tcW w:type="dxa" w:w="194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7"/>
              </w:rPr>
              <w:t>OS-OPS-PRD-16-R05</w:t>
            </w:r>
          </w:p>
        </w:tc>
        <w:tc>
          <w:tcPr>
            <w:tcW w:type="dxa" w:w="8280"/>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7"/>
              </w:rPr>
              <w:t>完成时原仓转待清仓，目标仓转已租用</w:t>
            </w:r>
          </w:p>
        </w:tc>
      </w:tr>
      <w:tr>
        <w:trPr>
          <w:cantSplit/>
        </w:trPr>
        <w:tc>
          <w:tcPr>
            <w:tcW w:type="dxa" w:w="194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7"/>
              </w:rPr>
              <w:t>OS-OPS-PRD-16-R06</w:t>
            </w:r>
          </w:p>
        </w:tc>
        <w:tc>
          <w:tcPr>
            <w:tcW w:type="dxa" w:w="8280"/>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7"/>
              </w:rPr>
              <w:t>所有写请求携带客户端请求编号和预期数据版本，重复请求返回首次结果</w:t>
            </w:r>
          </w:p>
        </w:tc>
      </w:tr>
      <w:tr>
        <w:trPr>
          <w:cantSplit/>
        </w:trPr>
        <w:tc>
          <w:tcPr>
            <w:tcW w:type="dxa" w:w="194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7"/>
              </w:rPr>
              <w:t>OS-OPS-PRD-16-R07</w:t>
            </w:r>
          </w:p>
        </w:tc>
        <w:tc>
          <w:tcPr>
            <w:tcW w:type="dxa" w:w="8280"/>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7"/>
              </w:rPr>
              <w:t>服务端返回当前允许操作，前端仅据此展示按钮，后端仍逐动作鉴权</w:t>
            </w:r>
          </w:p>
        </w:tc>
      </w:tr>
      <w:tr>
        <w:trPr>
          <w:cantSplit/>
        </w:trPr>
        <w:tc>
          <w:tcPr>
            <w:tcW w:type="dxa" w:w="194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7"/>
              </w:rPr>
              <w:t>OS-OPS-PRD-16-R08</w:t>
            </w:r>
          </w:p>
        </w:tc>
        <w:tc>
          <w:tcPr>
            <w:tcW w:type="dxa" w:w="8280"/>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7"/>
              </w:rPr>
              <w:t>列表、详情、关联选择器、统计和导出使用同一数据范围</w:t>
            </w:r>
          </w:p>
        </w:tc>
      </w:tr>
      <w:tr>
        <w:trPr>
          <w:cantSplit/>
        </w:trPr>
        <w:tc>
          <w:tcPr>
            <w:tcW w:type="dxa" w:w="194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7"/>
              </w:rPr>
              <w:t>OS-OPS-PRD-16-R09</w:t>
            </w:r>
          </w:p>
        </w:tc>
        <w:tc>
          <w:tcPr>
            <w:tcW w:type="dxa" w:w="8280"/>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7"/>
              </w:rPr>
              <w:t>创建、编辑、状态流转、导出、下载和审批均记录操作审计</w:t>
            </w:r>
          </w:p>
        </w:tc>
      </w:tr>
      <w:tr>
        <w:trPr>
          <w:cantSplit/>
        </w:trPr>
        <w:tc>
          <w:tcPr>
            <w:tcW w:type="dxa" w:w="194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7"/>
              </w:rPr>
              <w:t>OS-OPS-PRD-16-R10</w:t>
            </w:r>
          </w:p>
        </w:tc>
        <w:tc>
          <w:tcPr>
            <w:tcW w:type="dxa" w:w="8280"/>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7"/>
              </w:rPr>
              <w:t>第三方调用失败不得伪装主业务成功，进入可重试或人工处理状态</w:t>
            </w:r>
          </w:p>
        </w:tc>
      </w:tr>
    </w:tbl>
    <w:p>
      <w:pPr>
        <w:spacing w:after="0"/>
      </w:pPr>
    </w:p>
    <w:p>
      <w:pPr>
        <w:pStyle w:val="Heading1"/>
      </w:pPr>
      <w:r>
        <w:t>8 BPMN流程与节点责任</w:t>
      </w:r>
    </w:p>
    <w:tbl>
      <w:tblPr>
        <w:tblStyle w:val="TableGrid"/>
        <w:tblW w:type="dxa" w:w="10656"/>
        <w:jc w:val="center"/>
        <w:tblLayout w:type="fixed"/>
        <w:tblLook w:firstColumn="1" w:firstRow="1" w:lastColumn="0" w:lastRow="0" w:noHBand="0" w:noVBand="1" w:val="04A0"/>
      </w:tblPr>
      <w:tblGrid>
        <w:gridCol w:w="2232"/>
        <w:gridCol w:w="4752"/>
        <w:gridCol w:w="3672"/>
      </w:tblGrid>
      <w:tr>
        <w:trPr>
          <w:tblHeader/>
        </w:trPr>
        <w:tc>
          <w:tcPr>
            <w:tcW w:type="dxa" w:w="2232"/>
            <w:shd w:fill="17365D"/>
            <w:tcMar>
              <w:top w:w="75" w:type="dxa"/>
              <w:start w:w="100" w:type="dxa"/>
              <w:bottom w:w="75" w:type="dxa"/>
              <w:end w:w="100" w:type="dxa"/>
            </w:tcMar>
            <w:vAlign w:val="center"/>
          </w:tcPr>
          <w:p>
            <w:r>
              <w:rPr>
                <w:rFonts w:ascii="Calibri" w:hAnsi="Calibri" w:eastAsia="Microsoft YaHei"/>
                <w:b/>
                <w:color w:val="FFFFFF"/>
                <w:sz w:val="16"/>
              </w:rPr>
              <w:t>泳道</w:t>
            </w:r>
          </w:p>
        </w:tc>
        <w:tc>
          <w:tcPr>
            <w:tcW w:type="dxa" w:w="4752"/>
            <w:shd w:fill="17365D"/>
            <w:tcMar>
              <w:top w:w="75" w:type="dxa"/>
              <w:start w:w="100" w:type="dxa"/>
              <w:bottom w:w="75" w:type="dxa"/>
              <w:end w:w="100" w:type="dxa"/>
            </w:tcMar>
            <w:vAlign w:val="center"/>
          </w:tcPr>
          <w:p>
            <w:r>
              <w:rPr>
                <w:rFonts w:ascii="Calibri" w:hAnsi="Calibri" w:eastAsia="Microsoft YaHei"/>
                <w:b/>
                <w:color w:val="FFFFFF"/>
                <w:sz w:val="16"/>
              </w:rPr>
              <w:t>节点责任</w:t>
            </w:r>
          </w:p>
        </w:tc>
        <w:tc>
          <w:tcPr>
            <w:tcW w:type="dxa" w:w="3672"/>
            <w:shd w:fill="17365D"/>
            <w:tcMar>
              <w:top w:w="75" w:type="dxa"/>
              <w:start w:w="100" w:type="dxa"/>
              <w:bottom w:w="75" w:type="dxa"/>
              <w:end w:w="100" w:type="dxa"/>
            </w:tcMar>
            <w:vAlign w:val="center"/>
          </w:tcPr>
          <w:p>
            <w:r>
              <w:rPr>
                <w:rFonts w:ascii="Calibri" w:hAnsi="Calibri" w:eastAsia="Microsoft YaHei"/>
                <w:b/>
                <w:color w:val="FFFFFF"/>
                <w:sz w:val="16"/>
              </w:rPr>
              <w:t>输出</w:t>
            </w:r>
          </w:p>
        </w:tc>
      </w:tr>
      <w:tr>
        <w:trPr>
          <w:cantSplit/>
        </w:trPr>
        <w:tc>
          <w:tcPr>
            <w:tcW w:type="dxa" w:w="2232"/>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客户小程序或AIWA</w:t>
            </w:r>
          </w:p>
        </w:tc>
        <w:tc>
          <w:tcPr>
            <w:tcW w:type="dxa" w:w="4752"/>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提交申请、确认方案、签署或补充资料</w:t>
            </w:r>
          </w:p>
        </w:tc>
        <w:tc>
          <w:tcPr>
            <w:tcW w:type="dxa" w:w="3672"/>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客户端请求编号、客户确认和附件</w:t>
            </w:r>
          </w:p>
        </w:tc>
      </w:tr>
      <w:tr>
        <w:trPr>
          <w:cantSplit/>
        </w:trPr>
        <w:tc>
          <w:tcPr>
            <w:tcW w:type="dxa" w:w="2232"/>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运营后台</w:t>
            </w:r>
          </w:p>
        </w:tc>
        <w:tc>
          <w:tcPr>
            <w:tcW w:type="dxa" w:w="4752"/>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校验、受理、分派、审批、状态推进和异常处理</w:t>
            </w:r>
          </w:p>
        </w:tc>
        <w:tc>
          <w:tcPr>
            <w:tcW w:type="dxa" w:w="3672"/>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业务编号、状态、当前允许操作和审计</w:t>
            </w:r>
          </w:p>
        </w:tc>
      </w:tr>
      <w:tr>
        <w:trPr>
          <w:cantSplit/>
        </w:trPr>
        <w:tc>
          <w:tcPr>
            <w:tcW w:type="dxa" w:w="2232"/>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工单小程序或执行团队</w:t>
            </w:r>
          </w:p>
        </w:tc>
        <w:tc>
          <w:tcPr>
            <w:tcW w:type="dxa" w:w="4752"/>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接单、签到、扫码、处理和上报</w:t>
            </w:r>
          </w:p>
        </w:tc>
        <w:tc>
          <w:tcPr>
            <w:tcW w:type="dxa" w:w="3672"/>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节点时间、位置、照片和处理结果</w:t>
            </w:r>
          </w:p>
        </w:tc>
      </w:tr>
      <w:tr>
        <w:trPr>
          <w:cantSplit/>
        </w:trPr>
        <w:tc>
          <w:tcPr>
            <w:tcW w:type="dxa" w:w="2232"/>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领域服务与第三方</w:t>
            </w:r>
          </w:p>
        </w:tc>
        <w:tc>
          <w:tcPr>
            <w:tcW w:type="dxa" w:w="4752"/>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事务、库存、付款、签约、物流和通知</w:t>
            </w:r>
          </w:p>
        </w:tc>
        <w:tc>
          <w:tcPr>
            <w:tcW w:type="dxa" w:w="3672"/>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回调、事件、重试任务和最终结果</w:t>
            </w:r>
          </w:p>
        </w:tc>
      </w:tr>
    </w:tbl>
    <w:p>
      <w:pPr>
        <w:spacing w:after="0"/>
      </w:pPr>
    </w:p>
    <w:p>
      <w:pPr>
        <w:jc w:val="center"/>
      </w:pPr>
      <w:r/>
    </w:p>
    <w:p>
      <w:pPr>
        <w:jc w:val="center"/>
      </w:pPr>
      <w:r>
        <w:rPr>
          <w:rFonts w:ascii="Calibri" w:hAnsi="Calibri" w:eastAsia="Microsoft YaHei"/>
          <w:b w:val="0"/>
          <w:color w:val="667085"/>
          <w:sz w:val="17"/>
        </w:rPr>
        <w:t>图 8-1  转仓管理业务流程</w:t>
      </w:r>
    </w:p>
    <w:p>
      <w:r>
        <w:t>可编辑BPMN源文件：requirements/bpmn/转仓.bpmn。流程分支、异常补偿和人工复核必须与本文档状态机保持一致。</w:t>
      </w:r>
    </w:p>
    <w:p>
      <w:pPr>
        <w:pStyle w:val="Heading1"/>
      </w:pPr>
      <w:r>
        <w:t>9 跨端交互规则</w:t>
      </w:r>
    </w:p>
    <w:tbl>
      <w:tblPr>
        <w:tblStyle w:val="TableGrid"/>
        <w:tblW w:type="dxa" w:w="10224"/>
        <w:jc w:val="center"/>
        <w:tblLayout w:type="fixed"/>
        <w:tblLook w:firstColumn="1" w:firstRow="1" w:lastColumn="0" w:lastRow="0" w:noHBand="0" w:noVBand="1" w:val="04A0"/>
      </w:tblPr>
      <w:tblGrid>
        <w:gridCol w:w="1944"/>
        <w:gridCol w:w="8280"/>
      </w:tblGrid>
      <w:tr>
        <w:trPr>
          <w:tblHeader/>
        </w:trPr>
        <w:tc>
          <w:tcPr>
            <w:tcW w:type="dxa" w:w="1944"/>
            <w:shd w:fill="17365D"/>
            <w:tcMar>
              <w:top w:w="75" w:type="dxa"/>
              <w:start w:w="100" w:type="dxa"/>
              <w:bottom w:w="75" w:type="dxa"/>
              <w:end w:w="100" w:type="dxa"/>
            </w:tcMar>
            <w:vAlign w:val="center"/>
          </w:tcPr>
          <w:p>
            <w:r>
              <w:rPr>
                <w:rFonts w:ascii="Calibri" w:hAnsi="Calibri" w:eastAsia="Microsoft YaHei"/>
                <w:b/>
                <w:color w:val="FFFFFF"/>
                <w:sz w:val="17"/>
              </w:rPr>
              <w:t>规则ID</w:t>
            </w:r>
          </w:p>
        </w:tc>
        <w:tc>
          <w:tcPr>
            <w:tcW w:type="dxa" w:w="8280"/>
            <w:shd w:fill="17365D"/>
            <w:tcMar>
              <w:top w:w="75" w:type="dxa"/>
              <w:start w:w="100" w:type="dxa"/>
              <w:bottom w:w="75" w:type="dxa"/>
              <w:end w:w="100" w:type="dxa"/>
            </w:tcMar>
            <w:vAlign w:val="center"/>
          </w:tcPr>
          <w:p>
            <w:r>
              <w:rPr>
                <w:rFonts w:ascii="Calibri" w:hAnsi="Calibri" w:eastAsia="Microsoft YaHei"/>
                <w:b/>
                <w:color w:val="FFFFFF"/>
                <w:sz w:val="17"/>
              </w:rPr>
              <w:t>交互规则</w:t>
            </w:r>
          </w:p>
        </w:tc>
      </w:tr>
      <w:tr>
        <w:trPr>
          <w:cantSplit/>
        </w:trPr>
        <w:tc>
          <w:tcPr>
            <w:tcW w:type="dxa" w:w="194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7"/>
              </w:rPr>
              <w:t>OS-OPS-PRD-16-X01</w:t>
            </w:r>
          </w:p>
        </w:tc>
        <w:tc>
          <w:tcPr>
            <w:tcW w:type="dxa" w:w="8280"/>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7"/>
              </w:rPr>
              <w:t>客户小程序选择可转仓租约并查看报价</w:t>
            </w:r>
          </w:p>
        </w:tc>
      </w:tr>
      <w:tr>
        <w:trPr>
          <w:cantSplit/>
        </w:trPr>
        <w:tc>
          <w:tcPr>
            <w:tcW w:type="dxa" w:w="194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7"/>
              </w:rPr>
              <w:t>OS-OPS-PRD-16-X02</w:t>
            </w:r>
          </w:p>
        </w:tc>
        <w:tc>
          <w:tcPr>
            <w:tcW w:type="dxa" w:w="8280"/>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7"/>
              </w:rPr>
              <w:t>客户确认后完成新合同签署和差价支付</w:t>
            </w:r>
          </w:p>
        </w:tc>
      </w:tr>
      <w:tr>
        <w:trPr>
          <w:cantSplit/>
        </w:trPr>
        <w:tc>
          <w:tcPr>
            <w:tcW w:type="dxa" w:w="194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7"/>
              </w:rPr>
              <w:t>OS-OPS-PRD-16-X03</w:t>
            </w:r>
          </w:p>
        </w:tc>
        <w:tc>
          <w:tcPr>
            <w:tcW w:type="dxa" w:w="8280"/>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7"/>
              </w:rPr>
              <w:t>工单小程序接收搬仓和查仓任务</w:t>
            </w:r>
          </w:p>
        </w:tc>
      </w:tr>
    </w:tbl>
    <w:p>
      <w:pPr>
        <w:spacing w:after="0"/>
      </w:pPr>
    </w:p>
    <w:p>
      <w:pPr>
        <w:pStyle w:val="ListBullet"/>
      </w:pPr>
      <w:r>
        <w:t>客户小程序仅访问本人客户编号关联数据；内部小程序仅访问本人或团队任务</w:t>
      </w:r>
    </w:p>
    <w:p>
      <w:pPr>
        <w:pStyle w:val="ListBullet"/>
      </w:pPr>
      <w:r>
        <w:t>深链只携带业务编号，不携带敏感原文；打开后重新校验登录、权限和最新状态</w:t>
      </w:r>
    </w:p>
    <w:p>
      <w:pPr>
        <w:pStyle w:val="ListBullet"/>
      </w:pPr>
      <w:r>
        <w:t>客户端缓存仅用于展示，金额、库存、状态和当前允许操作必须回源</w:t>
      </w:r>
    </w:p>
    <w:p>
      <w:pPr>
        <w:pStyle w:val="ListBullet"/>
      </w:pPr>
      <w:r>
        <w:t>离线或网络重试沿用同一客户端请求编号，禁止产生重复业务对象</w:t>
      </w:r>
    </w:p>
    <w:p>
      <w:pPr>
        <w:pStyle w:val="Heading1"/>
      </w:pPr>
      <w:r>
        <w:t>10 接口与事件契约</w:t>
      </w:r>
    </w:p>
    <w:tbl>
      <w:tblPr>
        <w:tblStyle w:val="TableGrid"/>
        <w:tblW w:type="dxa" w:w="10224"/>
        <w:jc w:val="center"/>
        <w:tblLayout w:type="fixed"/>
        <w:tblLook w:firstColumn="1" w:firstRow="1" w:lastColumn="0" w:lastRow="0" w:noHBand="0" w:noVBand="1" w:val="04A0"/>
      </w:tblPr>
      <w:tblGrid>
        <w:gridCol w:w="1728"/>
        <w:gridCol w:w="3672"/>
        <w:gridCol w:w="4824"/>
      </w:tblGrid>
      <w:tr>
        <w:trPr>
          <w:tblHeader/>
        </w:trPr>
        <w:tc>
          <w:tcPr>
            <w:tcW w:type="dxa" w:w="1728"/>
            <w:shd w:fill="17365D"/>
            <w:tcMar>
              <w:top w:w="75" w:type="dxa"/>
              <w:start w:w="100" w:type="dxa"/>
              <w:bottom w:w="75" w:type="dxa"/>
              <w:end w:w="100" w:type="dxa"/>
            </w:tcMar>
            <w:vAlign w:val="center"/>
          </w:tcPr>
          <w:p>
            <w:r>
              <w:rPr>
                <w:rFonts w:ascii="Calibri" w:hAnsi="Calibri" w:eastAsia="Microsoft YaHei"/>
                <w:b/>
                <w:color w:val="FFFFFF"/>
                <w:sz w:val="16"/>
              </w:rPr>
              <w:t>契约</w:t>
            </w:r>
          </w:p>
        </w:tc>
        <w:tc>
          <w:tcPr>
            <w:tcW w:type="dxa" w:w="3672"/>
            <w:shd w:fill="17365D"/>
            <w:tcMar>
              <w:top w:w="75" w:type="dxa"/>
              <w:start w:w="100" w:type="dxa"/>
              <w:bottom w:w="75" w:type="dxa"/>
              <w:end w:w="100" w:type="dxa"/>
            </w:tcMar>
            <w:vAlign w:val="center"/>
          </w:tcPr>
          <w:p>
            <w:r>
              <w:rPr>
                <w:rFonts w:ascii="Calibri" w:hAnsi="Calibri" w:eastAsia="Microsoft YaHei"/>
                <w:b/>
                <w:color w:val="FFFFFF"/>
                <w:sz w:val="16"/>
              </w:rPr>
              <w:t>建议路径或事件</w:t>
            </w:r>
          </w:p>
        </w:tc>
        <w:tc>
          <w:tcPr>
            <w:tcW w:type="dxa" w:w="4824"/>
            <w:shd w:fill="17365D"/>
            <w:tcMar>
              <w:top w:w="75" w:type="dxa"/>
              <w:start w:w="100" w:type="dxa"/>
              <w:bottom w:w="75" w:type="dxa"/>
              <w:end w:w="100" w:type="dxa"/>
            </w:tcMar>
            <w:vAlign w:val="center"/>
          </w:tcPr>
          <w:p>
            <w:r>
              <w:rPr>
                <w:rFonts w:ascii="Calibri" w:hAnsi="Calibri" w:eastAsia="Microsoft YaHei"/>
                <w:b/>
                <w:color w:val="FFFFFF"/>
                <w:sz w:val="16"/>
              </w:rPr>
              <w:t>关键要求</w:t>
            </w:r>
          </w:p>
        </w:tc>
      </w:tr>
      <w:tr>
        <w:trPr>
          <w:cantSplit/>
        </w:trPr>
        <w:tc>
          <w:tcPr>
            <w:tcW w:type="dxa" w:w="1728"/>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列表查询</w:t>
            </w:r>
          </w:p>
        </w:tc>
        <w:tc>
          <w:tcPr>
            <w:tcW w:type="dxa" w:w="3672"/>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GET /ops/v1/transfers</w:t>
            </w:r>
          </w:p>
        </w:tc>
        <w:tc>
          <w:tcPr>
            <w:tcW w:type="dxa" w:w="482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分页、排序、筛选、数据权限范围、字段脱敏和总数</w:t>
            </w:r>
          </w:p>
        </w:tc>
      </w:tr>
      <w:tr>
        <w:trPr>
          <w:cantSplit/>
        </w:trPr>
        <w:tc>
          <w:tcPr>
            <w:tcW w:type="dxa" w:w="1728"/>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详情查询</w:t>
            </w:r>
          </w:p>
        </w:tc>
        <w:tc>
          <w:tcPr>
            <w:tcW w:type="dxa" w:w="3672"/>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GET /ops/v1/transfers/{id}</w:t>
            </w:r>
          </w:p>
        </w:tc>
        <w:tc>
          <w:tcPr>
            <w:tcW w:type="dxa" w:w="482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返回数据版本、关联对象、时间线和当前允许操作</w:t>
            </w:r>
          </w:p>
        </w:tc>
      </w:tr>
      <w:tr>
        <w:trPr>
          <w:cantSplit/>
        </w:trPr>
        <w:tc>
          <w:tcPr>
            <w:tcW w:type="dxa" w:w="1728"/>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新增</w:t>
            </w:r>
          </w:p>
        </w:tc>
        <w:tc>
          <w:tcPr>
            <w:tcW w:type="dxa" w:w="3672"/>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POST /ops/v1/transfers</w:t>
            </w:r>
          </w:p>
        </w:tc>
        <w:tc>
          <w:tcPr>
            <w:tcW w:type="dxa" w:w="482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使用客户端请求编号幂等，返回业务编号</w:t>
            </w:r>
          </w:p>
        </w:tc>
      </w:tr>
      <w:tr>
        <w:trPr>
          <w:cantSplit/>
        </w:trPr>
        <w:tc>
          <w:tcPr>
            <w:tcW w:type="dxa" w:w="1728"/>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编辑</w:t>
            </w:r>
          </w:p>
        </w:tc>
        <w:tc>
          <w:tcPr>
            <w:tcW w:type="dxa" w:w="3672"/>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PATCH /ops/v1/transfers/{id}</w:t>
            </w:r>
          </w:p>
        </w:tc>
        <w:tc>
          <w:tcPr>
            <w:tcW w:type="dxa" w:w="482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使用预期数据版本，冲突返回409</w:t>
            </w:r>
          </w:p>
        </w:tc>
      </w:tr>
      <w:tr>
        <w:trPr>
          <w:cantSplit/>
        </w:trPr>
        <w:tc>
          <w:tcPr>
            <w:tcW w:type="dxa" w:w="1728"/>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状态动作</w:t>
            </w:r>
          </w:p>
        </w:tc>
        <w:tc>
          <w:tcPr>
            <w:tcW w:type="dxa" w:w="3672"/>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POST /ops/v1/transfers/{id}/actions/{action}</w:t>
            </w:r>
          </w:p>
        </w:tc>
        <w:tc>
          <w:tcPr>
            <w:tcW w:type="dxa" w:w="482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动作级权限、状态前置条件和原因</w:t>
            </w:r>
          </w:p>
        </w:tc>
      </w:tr>
      <w:tr>
        <w:trPr>
          <w:cantSplit/>
        </w:trPr>
        <w:tc>
          <w:tcPr>
            <w:tcW w:type="dxa" w:w="1728"/>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领域事件</w:t>
            </w:r>
          </w:p>
        </w:tc>
        <w:tc>
          <w:tcPr>
            <w:tcW w:type="dxa" w:w="3672"/>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转仓管理.Changed.v1</w:t>
            </w:r>
          </w:p>
        </w:tc>
        <w:tc>
          <w:tcPr>
            <w:tcW w:type="dxa" w:w="482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包含事件编号、业务对象编号、数据版本、发生时间和最小业务数据</w:t>
            </w:r>
          </w:p>
        </w:tc>
      </w:tr>
    </w:tbl>
    <w:p>
      <w:pPr>
        <w:spacing w:after="0"/>
      </w:pPr>
    </w:p>
    <w:p>
      <w:pPr>
        <w:pStyle w:val="Heading1"/>
      </w:pPr>
      <w:r>
        <w:t>11 异常与边界处理</w:t>
      </w:r>
    </w:p>
    <w:tbl>
      <w:tblPr>
        <w:tblStyle w:val="TableGrid"/>
        <w:tblW w:type="dxa" w:w="10224"/>
        <w:jc w:val="center"/>
        <w:tblLayout w:type="fixed"/>
        <w:tblLook w:firstColumn="1" w:firstRow="1" w:lastColumn="0" w:lastRow="0" w:noHBand="0" w:noVBand="1" w:val="04A0"/>
      </w:tblPr>
      <w:tblGrid>
        <w:gridCol w:w="1944"/>
        <w:gridCol w:w="4608"/>
        <w:gridCol w:w="3672"/>
      </w:tblGrid>
      <w:tr>
        <w:trPr>
          <w:tblHeader/>
        </w:trPr>
        <w:tc>
          <w:tcPr>
            <w:tcW w:type="dxa" w:w="1944"/>
            <w:shd w:fill="17365D"/>
            <w:tcMar>
              <w:top w:w="75" w:type="dxa"/>
              <w:start w:w="100" w:type="dxa"/>
              <w:bottom w:w="75" w:type="dxa"/>
              <w:end w:w="100" w:type="dxa"/>
            </w:tcMar>
            <w:vAlign w:val="center"/>
          </w:tcPr>
          <w:p>
            <w:r>
              <w:rPr>
                <w:rFonts w:ascii="Calibri" w:hAnsi="Calibri" w:eastAsia="Microsoft YaHei"/>
                <w:b/>
                <w:color w:val="FFFFFF"/>
                <w:sz w:val="16"/>
              </w:rPr>
              <w:t>场景</w:t>
            </w:r>
          </w:p>
        </w:tc>
        <w:tc>
          <w:tcPr>
            <w:tcW w:type="dxa" w:w="4608"/>
            <w:shd w:fill="17365D"/>
            <w:tcMar>
              <w:top w:w="75" w:type="dxa"/>
              <w:start w:w="100" w:type="dxa"/>
              <w:bottom w:w="75" w:type="dxa"/>
              <w:end w:w="100" w:type="dxa"/>
            </w:tcMar>
            <w:vAlign w:val="center"/>
          </w:tcPr>
          <w:p>
            <w:r>
              <w:rPr>
                <w:rFonts w:ascii="Calibri" w:hAnsi="Calibri" w:eastAsia="Microsoft YaHei"/>
                <w:b/>
                <w:color w:val="FFFFFF"/>
                <w:sz w:val="16"/>
              </w:rPr>
              <w:t>系统处理</w:t>
            </w:r>
          </w:p>
        </w:tc>
        <w:tc>
          <w:tcPr>
            <w:tcW w:type="dxa" w:w="3672"/>
            <w:shd w:fill="17365D"/>
            <w:tcMar>
              <w:top w:w="75" w:type="dxa"/>
              <w:start w:w="100" w:type="dxa"/>
              <w:bottom w:w="75" w:type="dxa"/>
              <w:end w:w="100" w:type="dxa"/>
            </w:tcMar>
            <w:vAlign w:val="center"/>
          </w:tcPr>
          <w:p>
            <w:r>
              <w:rPr>
                <w:rFonts w:ascii="Calibri" w:hAnsi="Calibri" w:eastAsia="Microsoft YaHei"/>
                <w:b/>
                <w:color w:val="FFFFFF"/>
                <w:sz w:val="16"/>
              </w:rPr>
              <w:t>用户反馈</w:t>
            </w:r>
          </w:p>
        </w:tc>
      </w:tr>
      <w:tr>
        <w:trPr>
          <w:cantSplit/>
        </w:trPr>
        <w:tc>
          <w:tcPr>
            <w:tcW w:type="dxa" w:w="194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字段校验失败</w:t>
            </w:r>
          </w:p>
        </w:tc>
        <w:tc>
          <w:tcPr>
            <w:tcW w:type="dxa" w:w="4608"/>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返回400及字段级错误，不写业务数据</w:t>
            </w:r>
          </w:p>
        </w:tc>
        <w:tc>
          <w:tcPr>
            <w:tcW w:type="dxa" w:w="3672"/>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定位到字段并保留其他输入</w:t>
            </w:r>
          </w:p>
        </w:tc>
      </w:tr>
      <w:tr>
        <w:trPr>
          <w:cantSplit/>
        </w:trPr>
        <w:tc>
          <w:tcPr>
            <w:tcW w:type="dxa" w:w="194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无权限或超出数据范围</w:t>
            </w:r>
          </w:p>
        </w:tc>
        <w:tc>
          <w:tcPr>
            <w:tcW w:type="dxa" w:w="4608"/>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返回403并记录拒绝审计</w:t>
            </w:r>
          </w:p>
        </w:tc>
        <w:tc>
          <w:tcPr>
            <w:tcW w:type="dxa" w:w="3672"/>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提示无权执行，不泄露对象内容</w:t>
            </w:r>
          </w:p>
        </w:tc>
      </w:tr>
      <w:tr>
        <w:trPr>
          <w:cantSplit/>
        </w:trPr>
        <w:tc>
          <w:tcPr>
            <w:tcW w:type="dxa" w:w="194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对象不存在</w:t>
            </w:r>
          </w:p>
        </w:tc>
        <w:tc>
          <w:tcPr>
            <w:tcW w:type="dxa" w:w="4608"/>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返回404</w:t>
            </w:r>
          </w:p>
        </w:tc>
        <w:tc>
          <w:tcPr>
            <w:tcW w:type="dxa" w:w="3672"/>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显示记录不存在或已移除</w:t>
            </w:r>
          </w:p>
        </w:tc>
      </w:tr>
      <w:tr>
        <w:trPr>
          <w:cantSplit/>
        </w:trPr>
        <w:tc>
          <w:tcPr>
            <w:tcW w:type="dxa" w:w="194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版本冲突</w:t>
            </w:r>
          </w:p>
        </w:tc>
        <w:tc>
          <w:tcPr>
            <w:tcW w:type="dxa" w:w="4608"/>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返回409和最新数据版本摘要</w:t>
            </w:r>
          </w:p>
        </w:tc>
        <w:tc>
          <w:tcPr>
            <w:tcW w:type="dxa" w:w="3672"/>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要求刷新，不执行最后写入覆盖</w:t>
            </w:r>
          </w:p>
        </w:tc>
      </w:tr>
      <w:tr>
        <w:trPr>
          <w:cantSplit/>
        </w:trPr>
        <w:tc>
          <w:tcPr>
            <w:tcW w:type="dxa" w:w="194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重复请求</w:t>
            </w:r>
          </w:p>
        </w:tc>
        <w:tc>
          <w:tcPr>
            <w:tcW w:type="dxa" w:w="4608"/>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按幂等键返回首次结果</w:t>
            </w:r>
          </w:p>
        </w:tc>
        <w:tc>
          <w:tcPr>
            <w:tcW w:type="dxa" w:w="3672"/>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显示原业务编号</w:t>
            </w:r>
          </w:p>
        </w:tc>
      </w:tr>
      <w:tr>
        <w:trPr>
          <w:cantSplit/>
        </w:trPr>
        <w:tc>
          <w:tcPr>
            <w:tcW w:type="dxa" w:w="194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第三方超时</w:t>
            </w:r>
          </w:p>
        </w:tc>
        <w:tc>
          <w:tcPr>
            <w:tcW w:type="dxa" w:w="4608"/>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状态进入处理中或失败待重试</w:t>
            </w:r>
          </w:p>
        </w:tc>
        <w:tc>
          <w:tcPr>
            <w:tcW w:type="dxa" w:w="3672"/>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显示任务编号和可重试条件</w:t>
            </w:r>
          </w:p>
        </w:tc>
      </w:tr>
      <w:tr>
        <w:trPr>
          <w:cantSplit/>
        </w:trPr>
        <w:tc>
          <w:tcPr>
            <w:tcW w:type="dxa" w:w="194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附件失败</w:t>
            </w:r>
          </w:p>
        </w:tc>
        <w:tc>
          <w:tcPr>
            <w:tcW w:type="dxa" w:w="4608"/>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不提交依赖附件的业务动作</w:t>
            </w:r>
          </w:p>
        </w:tc>
        <w:tc>
          <w:tcPr>
            <w:tcW w:type="dxa" w:w="3672"/>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显示失败文件和重新上传入口</w:t>
            </w:r>
          </w:p>
        </w:tc>
      </w:tr>
    </w:tbl>
    <w:p>
      <w:pPr>
        <w:spacing w:after="0"/>
      </w:pPr>
    </w:p>
    <w:p>
      <w:pPr>
        <w:pStyle w:val="Heading1"/>
      </w:pPr>
      <w:r>
        <w:t>12 验收标准</w:t>
      </w:r>
    </w:p>
    <w:tbl>
      <w:tblPr>
        <w:tblStyle w:val="TableGrid"/>
        <w:tblW w:type="dxa" w:w="10224"/>
        <w:jc w:val="center"/>
        <w:tblLayout w:type="fixed"/>
        <w:tblLook w:firstColumn="1" w:firstRow="1" w:lastColumn="0" w:lastRow="0" w:noHBand="0" w:noVBand="1" w:val="04A0"/>
      </w:tblPr>
      <w:tblGrid>
        <w:gridCol w:w="1944"/>
        <w:gridCol w:w="8280"/>
      </w:tblGrid>
      <w:tr>
        <w:trPr>
          <w:tblHeader/>
        </w:trPr>
        <w:tc>
          <w:tcPr>
            <w:tcW w:type="dxa" w:w="1944"/>
            <w:shd w:fill="17365D"/>
            <w:tcMar>
              <w:top w:w="75" w:type="dxa"/>
              <w:start w:w="100" w:type="dxa"/>
              <w:bottom w:w="75" w:type="dxa"/>
              <w:end w:w="100" w:type="dxa"/>
            </w:tcMar>
            <w:vAlign w:val="center"/>
          </w:tcPr>
          <w:p>
            <w:r>
              <w:rPr>
                <w:rFonts w:ascii="Calibri" w:hAnsi="Calibri" w:eastAsia="Microsoft YaHei"/>
                <w:b/>
                <w:color w:val="FFFFFF"/>
                <w:sz w:val="17"/>
              </w:rPr>
              <w:t>验收ID</w:t>
            </w:r>
          </w:p>
        </w:tc>
        <w:tc>
          <w:tcPr>
            <w:tcW w:type="dxa" w:w="8280"/>
            <w:shd w:fill="17365D"/>
            <w:tcMar>
              <w:top w:w="75" w:type="dxa"/>
              <w:start w:w="100" w:type="dxa"/>
              <w:bottom w:w="75" w:type="dxa"/>
              <w:end w:w="100" w:type="dxa"/>
            </w:tcMar>
            <w:vAlign w:val="center"/>
          </w:tcPr>
          <w:p>
            <w:r>
              <w:rPr>
                <w:rFonts w:ascii="Calibri" w:hAnsi="Calibri" w:eastAsia="Microsoft YaHei"/>
                <w:b/>
                <w:color w:val="FFFFFF"/>
                <w:sz w:val="17"/>
              </w:rPr>
              <w:t>验收条件</w:t>
            </w:r>
          </w:p>
        </w:tc>
      </w:tr>
      <w:tr>
        <w:trPr>
          <w:cantSplit/>
        </w:trPr>
        <w:tc>
          <w:tcPr>
            <w:tcW w:type="dxa" w:w="194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7"/>
              </w:rPr>
              <w:t>OS-OPS-PRD-16-AC01</w:t>
            </w:r>
          </w:p>
        </w:tc>
        <w:tc>
          <w:tcPr>
            <w:tcW w:type="dxa" w:w="8280"/>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7"/>
              </w:rPr>
              <w:t>列表逐列与本文档字段一致，筛选、分页、排序和导出使用同一查询条件。</w:t>
            </w:r>
          </w:p>
        </w:tc>
      </w:tr>
      <w:tr>
        <w:trPr>
          <w:cantSplit/>
        </w:trPr>
        <w:tc>
          <w:tcPr>
            <w:tcW w:type="dxa" w:w="194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7"/>
              </w:rPr>
              <w:t>OS-OPS-PRD-16-AC02</w:t>
            </w:r>
          </w:p>
        </w:tc>
        <w:tc>
          <w:tcPr>
            <w:tcW w:type="dxa" w:w="8280"/>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7"/>
              </w:rPr>
              <w:t>新增和编辑表单覆盖本文档全部字段，必填、格式、关联对象和跨字段校验可复现。</w:t>
            </w:r>
          </w:p>
        </w:tc>
      </w:tr>
      <w:tr>
        <w:trPr>
          <w:cantSplit/>
        </w:trPr>
        <w:tc>
          <w:tcPr>
            <w:tcW w:type="dxa" w:w="194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7"/>
              </w:rPr>
              <w:t>OS-OPS-PRD-16-AC03</w:t>
            </w:r>
          </w:p>
        </w:tc>
        <w:tc>
          <w:tcPr>
            <w:tcW w:type="dxa" w:w="8280"/>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7"/>
              </w:rPr>
              <w:t>每个操作仅在当前允许操作允许时显示，直接调用接口仍执行权限与状态校验。</w:t>
            </w:r>
          </w:p>
        </w:tc>
      </w:tr>
      <w:tr>
        <w:trPr>
          <w:cantSplit/>
        </w:trPr>
        <w:tc>
          <w:tcPr>
            <w:tcW w:type="dxa" w:w="194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7"/>
              </w:rPr>
              <w:t>OS-OPS-PRD-16-AC04</w:t>
            </w:r>
          </w:p>
        </w:tc>
        <w:tc>
          <w:tcPr>
            <w:tcW w:type="dxa" w:w="8280"/>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7"/>
              </w:rPr>
              <w:t>状态流转、时间线、关联编号和领域事件一致，重复提交不产生重复副作用。</w:t>
            </w:r>
          </w:p>
        </w:tc>
      </w:tr>
      <w:tr>
        <w:trPr>
          <w:cantSplit/>
        </w:trPr>
        <w:tc>
          <w:tcPr>
            <w:tcW w:type="dxa" w:w="194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7"/>
              </w:rPr>
              <w:t>OS-OPS-PRD-16-AC05</w:t>
            </w:r>
          </w:p>
        </w:tc>
        <w:tc>
          <w:tcPr>
            <w:tcW w:type="dxa" w:w="8280"/>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7"/>
              </w:rPr>
              <w:t>客户小程序和工单小程序显示的编号、状态、金额和节点时间与后台详情一致。</w:t>
            </w:r>
          </w:p>
        </w:tc>
      </w:tr>
      <w:tr>
        <w:trPr>
          <w:cantSplit/>
        </w:trPr>
        <w:tc>
          <w:tcPr>
            <w:tcW w:type="dxa" w:w="194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7"/>
              </w:rPr>
              <w:t>OS-OPS-PRD-16-AC06</w:t>
            </w:r>
          </w:p>
        </w:tc>
        <w:tc>
          <w:tcPr>
            <w:tcW w:type="dxa" w:w="8280"/>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7"/>
              </w:rPr>
              <w:t>400、403、404、409、第三方失败、附件失败和空数据均有明确页面反馈。</w:t>
            </w:r>
          </w:p>
        </w:tc>
      </w:tr>
      <w:tr>
        <w:trPr>
          <w:cantSplit/>
        </w:trPr>
        <w:tc>
          <w:tcPr>
            <w:tcW w:type="dxa" w:w="194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7"/>
              </w:rPr>
              <w:t>OS-OPS-PRD-16-AC07</w:t>
            </w:r>
          </w:p>
        </w:tc>
        <w:tc>
          <w:tcPr>
            <w:tcW w:type="dxa" w:w="8280"/>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7"/>
              </w:rPr>
              <w:t>敏感字段在列表、详情、导出和日志中按权限脱敏，查看原文和下载均有审计。</w:t>
            </w:r>
          </w:p>
        </w:tc>
      </w:tr>
      <w:tr>
        <w:trPr>
          <w:cantSplit/>
        </w:trPr>
        <w:tc>
          <w:tcPr>
            <w:tcW w:type="dxa" w:w="194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7"/>
              </w:rPr>
              <w:t>OS-OPS-PRD-16-AC08</w:t>
            </w:r>
          </w:p>
        </w:tc>
        <w:tc>
          <w:tcPr>
            <w:tcW w:type="dxa" w:w="8280"/>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7"/>
              </w:rPr>
              <w:t>P0接口具备单元、状态机、权限、幂等和并发自动化测试。</w:t>
            </w:r>
          </w:p>
        </w:tc>
      </w:tr>
    </w:tbl>
    <w:p>
      <w:pPr>
        <w:spacing w:after="0"/>
      </w:pPr>
    </w:p>
    <w:p>
      <w:pPr>
        <w:pStyle w:val="Heading1"/>
      </w:pPr>
      <w:r>
        <w:t>13 研发分工</w:t>
      </w:r>
    </w:p>
    <w:tbl>
      <w:tblPr>
        <w:tblStyle w:val="TableGrid"/>
        <w:tblW w:type="dxa" w:w="10224"/>
        <w:jc w:val="center"/>
        <w:tblLayout w:type="fixed"/>
        <w:tblLook w:firstColumn="1" w:firstRow="1" w:lastColumn="0" w:lastRow="0" w:noHBand="0" w:noVBand="1" w:val="04A0"/>
      </w:tblPr>
      <w:tblGrid>
        <w:gridCol w:w="2016"/>
        <w:gridCol w:w="8208"/>
      </w:tblGrid>
      <w:tr>
        <w:trPr>
          <w:tblHeader/>
        </w:trPr>
        <w:tc>
          <w:tcPr>
            <w:tcW w:type="dxa" w:w="2016"/>
            <w:shd w:fill="17365D"/>
            <w:tcMar>
              <w:top w:w="75" w:type="dxa"/>
              <w:start w:w="100" w:type="dxa"/>
              <w:bottom w:w="75" w:type="dxa"/>
              <w:end w:w="100" w:type="dxa"/>
            </w:tcMar>
            <w:vAlign w:val="center"/>
          </w:tcPr>
          <w:p>
            <w:r>
              <w:rPr>
                <w:rFonts w:ascii="Calibri" w:hAnsi="Calibri" w:eastAsia="Microsoft YaHei"/>
                <w:b/>
                <w:color w:val="FFFFFF"/>
                <w:sz w:val="18"/>
              </w:rPr>
              <w:t>工作包</w:t>
            </w:r>
          </w:p>
        </w:tc>
        <w:tc>
          <w:tcPr>
            <w:tcW w:type="dxa" w:w="8208"/>
            <w:shd w:fill="17365D"/>
            <w:tcMar>
              <w:top w:w="75" w:type="dxa"/>
              <w:start w:w="100" w:type="dxa"/>
              <w:bottom w:w="75" w:type="dxa"/>
              <w:end w:w="100" w:type="dxa"/>
            </w:tcMar>
            <w:vAlign w:val="center"/>
          </w:tcPr>
          <w:p>
            <w:r>
              <w:rPr>
                <w:rFonts w:ascii="Calibri" w:hAnsi="Calibri" w:eastAsia="Microsoft YaHei"/>
                <w:b/>
                <w:color w:val="FFFFFF"/>
                <w:sz w:val="18"/>
              </w:rPr>
              <w:t>交付内容</w:t>
            </w:r>
          </w:p>
        </w:tc>
      </w:tr>
      <w:tr>
        <w:trPr>
          <w:cantSplit/>
        </w:trPr>
        <w:tc>
          <w:tcPr>
            <w:tcW w:type="dxa" w:w="2016"/>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8"/>
              </w:rPr>
              <w:t>运营后台前端</w:t>
            </w:r>
          </w:p>
        </w:tc>
        <w:tc>
          <w:tcPr>
            <w:tcW w:type="dxa" w:w="8208"/>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8"/>
              </w:rPr>
              <w:t>列表、筛选、详情、表单、动作、权限态、异常态和埋点</w:t>
            </w:r>
          </w:p>
        </w:tc>
      </w:tr>
      <w:tr>
        <w:trPr>
          <w:cantSplit/>
        </w:trPr>
        <w:tc>
          <w:tcPr>
            <w:tcW w:type="dxa" w:w="2016"/>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8"/>
              </w:rPr>
              <w:t>领域后端</w:t>
            </w:r>
          </w:p>
        </w:tc>
        <w:tc>
          <w:tcPr>
            <w:tcW w:type="dxa" w:w="8208"/>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8"/>
              </w:rPr>
              <w:t>数据模型、状态机、校验、权限、幂等、接口和领域事件</w:t>
            </w:r>
          </w:p>
        </w:tc>
      </w:tr>
      <w:tr>
        <w:trPr>
          <w:cantSplit/>
        </w:trPr>
        <w:tc>
          <w:tcPr>
            <w:tcW w:type="dxa" w:w="2016"/>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8"/>
              </w:rPr>
              <w:t>跨端</w:t>
            </w:r>
          </w:p>
        </w:tc>
        <w:tc>
          <w:tcPr>
            <w:tcW w:type="dxa" w:w="8208"/>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8"/>
              </w:rPr>
              <w:t>客户小程序或工单小程序入口、展示、申请、通知和深链</w:t>
            </w:r>
          </w:p>
        </w:tc>
      </w:tr>
      <w:tr>
        <w:trPr>
          <w:cantSplit/>
        </w:trPr>
        <w:tc>
          <w:tcPr>
            <w:tcW w:type="dxa" w:w="2016"/>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8"/>
              </w:rPr>
              <w:t>测试</w:t>
            </w:r>
          </w:p>
        </w:tc>
        <w:tc>
          <w:tcPr>
            <w:tcW w:type="dxa" w:w="8208"/>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8"/>
              </w:rPr>
              <w:t>字段、状态、权限、并发、异常、跨端一致性和回归用例</w:t>
            </w:r>
          </w:p>
        </w:tc>
      </w:tr>
      <w:tr>
        <w:trPr>
          <w:cantSplit/>
        </w:trPr>
        <w:tc>
          <w:tcPr>
            <w:tcW w:type="dxa" w:w="2016"/>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8"/>
              </w:rPr>
              <w:t>数据与实施</w:t>
            </w:r>
          </w:p>
        </w:tc>
        <w:tc>
          <w:tcPr>
            <w:tcW w:type="dxa" w:w="8208"/>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8"/>
              </w:rPr>
              <w:t>字典、主数据、迁移映射、指标口径和运营配置</w:t>
            </w:r>
          </w:p>
        </w:tc>
      </w:tr>
    </w:tbl>
    <w:p>
      <w:pPr>
        <w:spacing w:after="0"/>
      </w:pPr>
    </w:p>
    <w:sectPr w:rsidR="00FC693F" w:rsidRPr="0006063C" w:rsidSect="00034616">
      <w:headerReference w:type="default" r:id="rId9"/>
      <w:footerReference w:type="default" r:id="rId10"/>
      <w:pgSz w:w="12240" w:h="15840"/>
      <w:pgMar w:top="1037" w:right="979" w:bottom="979" w:left="97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eastAsia="Microsoft YaHei"/>
        <w:b w:val="0"/>
        <w:color w:val="667085"/>
        <w:sz w:val="15"/>
      </w:rPr>
      <w:t xml:space="preserve">V2.5  |  2026-09-09  |  </w:t>
    </w: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eastAsia="Microsoft YaHei"/>
        <w:b/>
        <w:color w:val="17365D"/>
        <w:sz w:val="15"/>
      </w:rPr>
      <w:t>ONE STORAGE  |  OS-OPS-PRD-16  |  转仓管理 PRD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83" w:lineRule="auto"/>
    </w:pPr>
    <w:rPr>
      <w:rFonts w:ascii="Calibri" w:hAnsi="Calibri" w:eastAsia="Microsoft YaHei"/>
      <w:color w:val="1F2937"/>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00" w:after="160"/>
      <w:outlineLvl w:val="0"/>
    </w:pPr>
    <w:rPr>
      <w:rFonts w:asciiTheme="majorHAnsi" w:eastAsiaTheme="majorEastAsia" w:hAnsiTheme="majorHAnsi" w:cstheme="majorBidi" w:ascii="Calibri" w:hAnsi="Calibri" w:eastAsia="Microsoft YaHei"/>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ascii="Calibri" w:hAnsi="Calibri" w:eastAsia="Microsoft YaHe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ascii="Calibri" w:hAnsi="Calibri" w:eastAsia="Microsoft YaHei"/>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200" w:line="240" w:lineRule="auto" w:before="0"/>
      <w:contextualSpacing/>
    </w:pPr>
    <w:rPr>
      <w:rFonts w:asciiTheme="majorHAnsi" w:eastAsiaTheme="majorEastAsia" w:hAnsiTheme="majorHAnsi" w:cstheme="majorBidi" w:ascii="Calibri" w:hAnsi="Calibri" w:eastAsia="Microsoft YaHei"/>
      <w:b/>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