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迷你箱物流履约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OS-OPS-PRD-19  |  V2.5  |  2026-09-09</w:t>
      </w:r>
    </w:p>
    <w:p>
      <w:pPr>
        <w:spacing w:before="1440"/>
        <w:jc w:val="center"/>
      </w:pPr>
      <w:r>
        <w:rPr>
          <w:rFonts w:ascii="Calibri" w:hAnsi="Calibri" w:eastAsia="Microsoft YaHei"/>
          <w:b w:val="0"/>
          <w:color w:val="1F2937"/>
          <w:sz w:val="22"/>
        </w:rPr>
        <w:t>管理送箱、取箱、入仓、召回和返还的多运单履约及异常处理。</w:t>
      </w:r>
    </w:p>
    <w:p>
      <w:r/>
    </w:p>
    <w:p>
      <w:pPr>
        <w:pStyle w:val="Heading1"/>
      </w:pPr>
      <w:r>
        <w:t>1 文档目标与范围</w:t>
      </w:r>
    </w:p>
    <w:p>
      <w:r>
        <w:t>管理送箱、取箱、入仓、召回和返还的多运单履约及异常处理。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OS-OPS-PRD-19</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V2.5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p>
    <w:p>
      <w:pPr>
        <w:pStyle w:val="Caption"/>
        <w:jc w:val="center"/>
      </w:pPr>
      <w:r>
        <w:t>图 2-1  迷你箱物流履约列表</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OS-OPS-PRD-19-FP02 添加物流信息；OS-OPS-PRD-19-FP03 出库或交接；OS-OPS-PRD-19-FP04 刷新物流</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界面同时呈现资产或履约对象、当前状态、位置/归属信息、筛选条件和业务操作入口。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选择门店、区域或状态后刷新对象范围；状态动作先校验占用关系和版本，成功后刷新资产状态及关联订单/工单。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所有行级和详情动作由当前允许操作控制；无权限时隐藏入口，直接调用接口仍返回403并记录审计。</w:t>
            </w:r>
          </w:p>
        </w:tc>
      </w:tr>
    </w:tbl>
    <w:p>
      <w:pPr>
        <w:spacing w:after="0"/>
      </w:pPr>
    </w:p>
    <w:p>
      <w:pPr>
        <w:jc w:val="center"/>
      </w:pPr>
      <w:r/>
    </w:p>
    <w:p>
      <w:pPr>
        <w:pStyle w:val="Caption"/>
        <w:jc w:val="center"/>
      </w:pPr>
      <w:r>
        <w:t>图 2-2  履约前配对任务创建表单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OS-OPS-PRD-19-FP01 创建履约</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新增界面按业务分组展示表单字段、关联对象选择、保存与取消操作。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必填和格式错误在字段下方提示；关联对象实时校验；保存期间按钮防重复，关闭已修改表单需二次确认。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所有行级和详情动作由当前允许操作控制；无权限时隐藏入口，直接调用接口仍返回403并记录审计。</w:t>
            </w:r>
          </w:p>
        </w:tc>
      </w:tr>
    </w:tbl>
    <w:p>
      <w:pPr>
        <w:spacing w:after="0"/>
      </w:pPr>
    </w:p>
    <w:p>
      <w:pPr>
        <w:jc w:val="center"/>
      </w:pPr>
      <w:r/>
    </w:p>
    <w:p>
      <w:pPr>
        <w:pStyle w:val="Caption"/>
        <w:jc w:val="center"/>
      </w:pPr>
      <w:r>
        <w:t>图 2-3  履约配对执行处理表单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OS-OPS-PRD-19-FP05 异常处理</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处理界面展示对象摘要、当前状态、流程节点、执行字段、处理记录以及下一步动作。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动作只在当前状态允许时可用；提交时携带预期数据版本，成功后回源刷新状态、时间线、SLA和当前允许操作。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所有行级和详情动作由当前允许操作控制；无权限时隐藏入口，直接调用接口仍返回403并记录审计。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履约、订单、箱号或运单号</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履约类型</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物流商</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节点状态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异常状态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预约日期</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OS-OPS-PRD-19-L01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履约编号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OS-OPS-PRD-19-L02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订单编号</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OS-OPS-PRD-19-L03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预约类型</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OS-OPS-PRD-19-L04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客户</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显示客户名称和客户编号，可跳转客户档案。</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OS-OPS-PRD-19-L05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箱号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OS-OPS-PRD-19-L06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运单号</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OS-OPS-PRD-19-L07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物流商</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OS-OPS-PRD-19-L08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提送地址</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OS-OPS-PRD-19-L09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预约时段</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OS-OPS-PRD-19-L10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当前节点</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OS-OPS-PRD-19-L11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异常标记</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OS-OPS-PRD-19-L12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负责人</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显示姓名，离职或停用账号保留历史名称。</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OS-OPS-PRD-19-L13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更新时间</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服务器更新时间，格式YYYY-MM-DD HH:mm:ss。</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OS-OPS-PRD-19-L14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根据当前允许操作显示查看、编辑及状态动作；后端再次鉴权。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OS-OPS-PRD-19-F01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订单</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OS-OPS-PRD-19-F02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履约类型</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OS-OPS-PRD-19-F03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预约</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OS-OPS-PRD-19-F04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箱号</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OS-OPS-PRD-19-F05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物流商</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OS-OPS-PRD-19-F06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运单号</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OS-OPS-PRD-19-F07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提货地址</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OS-OPS-PRD-19-F08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送达地址</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最多500字；拒绝或异常原因不得只输入空白。</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OS-OPS-PRD-19-F09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预约时段</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OS-OPS-PRD-19-F10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司机或团队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OS-OPS-PRD-19-F11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车辆</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OS-OPS-PRD-19-F12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费用</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OS-OPS-PRD-19-F13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文件上传</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使用短期签名上传，校验类型、大小、哈希和病毒扫描结果。</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OS-OPS-PRD-19-F14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备注</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首次打开新增表单使用服务端默认值；编辑表单显示当前数据版本</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2"/>
      </w:pPr>
      <w:r>
        <w:t>5.1 详情入口与页面容器</w:t>
      </w:r>
    </w:p>
    <w:p>
      <w:r>
        <w:t>用户从列表行的查看入口、业务编号链接或关联对象深链打开详情。界面设计依据原型中的“履约配对执行处理表单”真实截图；原型未提供独立详情画面时，不生成示例截图，研发按本文档定义在现有列表视觉体系中实现右侧抽屉或独立详情页。</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界面状态</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完整处理规则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打开与返回</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打开时保存列表筛选、分页、排序和滚动位置；关闭或返回后恢复原上下文，并只刷新发生变化的行。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加载中</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先展示对象类型、业务编号和骨架屏；各信息组独立加载，禁止闪现上一条记录。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加载成功</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返回id、业务编号、数据版本、当前状态、数据截止时间、字段权限和当前允许操作；页面以响应为唯一展示依据。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记录不存在</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显示记录不存在、已归档或已移除；不泄露客户、金额、地址和关联对象，提供返回列表入口。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无权限</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详情接口在返回任何业务字段前完成对象级和字段级鉴权；页面显示无权查看并记录拒绝审计。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版本变化</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收到对象变更事件时自动刷新只读区；若存在未提交操作，提示比较最新版本，不覆盖用户输入。</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部分失败</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基本资料可显示时保留页面，仅在失败的信息组显示错误、链路追踪编号和重试；不得把缺失值显示为0或正常状态。</w:t>
            </w:r>
          </w:p>
        </w:tc>
      </w:tr>
    </w:tbl>
    <w:p>
      <w:pPr>
        <w:spacing w:after="0"/>
      </w:pPr>
    </w:p>
    <w:p>
      <w:pPr>
        <w:pStyle w:val="Heading2"/>
      </w:pPr>
      <w:r>
        <w:t>5.2 顶部摘要与详情信息组</w:t>
      </w:r>
    </w:p>
    <w:p>
      <w:r>
        <w:t>顶部摘要用于确认当前查看对象、归属、状态、责任人和关键业务值。详情字段必须覆盖新增、编辑及系统处理后形成的有效数据，不得只复制列表列。</w:t>
      </w:r>
    </w:p>
    <w:tbl>
      <w:tblPr>
        <w:tblStyle w:val="TableGrid"/>
        <w:tblW w:type="dxa" w:w="10224"/>
        <w:jc w:val="center"/>
        <w:tblLayout w:type="fixed"/>
        <w:tblLook w:firstColumn="1" w:firstRow="1" w:lastColumn="0" w:lastRow="0" w:noHBand="0" w:noVBand="1" w:val="04A0"/>
      </w:tblPr>
      <w:tblGrid>
        <w:gridCol w:w="2088"/>
        <w:gridCol w:w="4968"/>
        <w:gridCol w:w="3168"/>
      </w:tblGrid>
      <w:tr>
        <w:trPr>
          <w:tblHeader/>
        </w:trPr>
        <w:tc>
          <w:tcPr>
            <w:tcW w:type="dxa" w:w="2088"/>
            <w:shd w:fill="17365D"/>
            <w:tcMar>
              <w:top w:w="75" w:type="dxa"/>
              <w:start w:w="100" w:type="dxa"/>
              <w:bottom w:w="75" w:type="dxa"/>
              <w:end w:w="100" w:type="dxa"/>
            </w:tcMar>
            <w:vAlign w:val="center"/>
          </w:tcPr>
          <w:p>
            <w:r>
              <w:rPr>
                <w:rFonts w:ascii="Calibri" w:hAnsi="Calibri" w:eastAsia="Microsoft YaHei"/>
                <w:b/>
                <w:color w:val="FFFFFF"/>
                <w:sz w:val="15"/>
              </w:rPr>
              <w:t>信息组</w:t>
            </w:r>
          </w:p>
        </w:tc>
        <w:tc>
          <w:tcPr>
            <w:tcW w:type="dxa" w:w="4968"/>
            <w:shd w:fill="17365D"/>
            <w:tcMar>
              <w:top w:w="75" w:type="dxa"/>
              <w:start w:w="100" w:type="dxa"/>
              <w:bottom w:w="75" w:type="dxa"/>
              <w:end w:w="100" w:type="dxa"/>
            </w:tcMar>
            <w:vAlign w:val="center"/>
          </w:tcPr>
          <w:p>
            <w:r>
              <w:rPr>
                <w:rFonts w:ascii="Calibri" w:hAnsi="Calibri" w:eastAsia="Microsoft YaHei"/>
                <w:b/>
                <w:color w:val="FFFFFF"/>
                <w:sz w:val="15"/>
              </w:rPr>
              <w:t>展示字段</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5"/>
              </w:rPr>
              <w:t>展示与交互规则</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标识与基本资料</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履约编号、预约类型、运单号、物流商、预约时段、当前节点、异常标记、履约类型、预约、车辆</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完整显示业务编号与主属性；编号支持复制且不可编辑，敏感字段按字段权限脱敏。</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归属与关联对象</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订单编号、客户、箱号、负责人、订单、司机或团队</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显示名称加业务编号；有查看权限时可打开关联对象，无权限时只显示允许的摘要。</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金额数量与业务配置</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费用</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显示原始值、单位、币种和有效版本；金额与数量由服务端返回，前端不得二次推导覆盖。</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状态责任与时间</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更新时间</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显示当前状态、负责人、业务时间和服务器更新时间；状态由服务端枚举与时间线共同解释。</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附件说明与补充信息</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提送地址、提货地址、送达地址、附件、备注</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附件展示文件名、版本、扫描状态和权限动作；长文本保留换行并记录创建人与时间。</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系统与审计信息</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数据版本、创建时间、创建人、更新时间、更新人、来源渠道、请求编号</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作为详情响应固定字段；用于并发控制、来源说明和操作追踪，不允许前端伪造。</w:t>
            </w:r>
          </w:p>
        </w:tc>
      </w:tr>
    </w:tbl>
    <w:p>
      <w:pPr>
        <w:spacing w:after="0"/>
      </w:pPr>
    </w:p>
    <w:p>
      <w:pPr>
        <w:pStyle w:val="Heading2"/>
      </w:pPr>
      <w:r>
        <w:t>5.3 状态时间线与处理记录</w:t>
      </w:r>
    </w:p>
    <w:tbl>
      <w:tblPr>
        <w:tblStyle w:val="TableGrid"/>
        <w:tblW w:type="dxa" w:w="10368"/>
        <w:jc w:val="center"/>
        <w:tblLayout w:type="fixed"/>
        <w:tblLook w:firstColumn="1" w:firstRow="1" w:lastColumn="0" w:lastRow="0" w:noHBand="0" w:noVBand="1" w:val="04A0"/>
      </w:tblPr>
      <w:tblGrid>
        <w:gridCol w:w="1800"/>
        <w:gridCol w:w="3816"/>
        <w:gridCol w:w="475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区域</w:t>
            </w:r>
          </w:p>
        </w:tc>
        <w:tc>
          <w:tcPr>
            <w:tcW w:type="dxa" w:w="3816"/>
            <w:shd w:fill="17365D"/>
            <w:tcMar>
              <w:top w:w="75" w:type="dxa"/>
              <w:start w:w="100" w:type="dxa"/>
              <w:bottom w:w="75" w:type="dxa"/>
              <w:end w:w="100" w:type="dxa"/>
            </w:tcMar>
            <w:vAlign w:val="center"/>
          </w:tcPr>
          <w:p>
            <w:r>
              <w:rPr>
                <w:rFonts w:ascii="Calibri" w:hAnsi="Calibri" w:eastAsia="Microsoft YaHei"/>
                <w:b/>
                <w:color w:val="FFFFFF"/>
                <w:sz w:val="15"/>
              </w:rPr>
              <w:t>内容</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当前状态</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待预约→待配对→待出库→配送中→已送达→待取回→取回中→已入仓；召回中→已返还；异常待处理</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由服务端当前状态和状态名称返回；页面不得根据按钮、时间或关联对象自行推断。</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创建、分派或提交、审批、执行、完成、取消、失败、恢复等有效节点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每个节点显示事件编号、状态、业务时间、服务器接收时间、操作者、来源端、原因和结果；重试不得覆盖历史。</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操作记录</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新增、编辑、状态动作、关联变更、下载、导出和权限拒绝</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按发生时间倒序分页；字段变化显示前后值摘要，敏感原文继续脱敏。</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异步任务</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通知、同步、文件处理、第三方回调、导出或补偿任务</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显示任务编号、当前状态、重试次数、最近错误和下一次重试时间；主事务成功与异步失败分开表达。</w:t>
            </w:r>
          </w:p>
        </w:tc>
      </w:tr>
    </w:tbl>
    <w:p>
      <w:pPr>
        <w:spacing w:after="0"/>
      </w:pPr>
    </w:p>
    <w:p>
      <w:pPr>
        <w:pStyle w:val="Heading2"/>
      </w:pPr>
      <w:r>
        <w:t>5.4 关联对象与页签规则</w:t>
      </w:r>
    </w:p>
    <w:tbl>
      <w:tblPr>
        <w:tblStyle w:val="TableGrid"/>
        <w:tblW w:type="dxa" w:w="10368"/>
        <w:jc w:val="center"/>
        <w:tblLayout w:type="fixed"/>
        <w:tblLook w:firstColumn="1" w:firstRow="1" w:lastColumn="0" w:lastRow="0" w:noHBand="0" w:noVBand="1" w:val="04A0"/>
      </w:tblPr>
      <w:tblGrid>
        <w:gridCol w:w="1800"/>
        <w:gridCol w:w="4032"/>
        <w:gridCol w:w="4536"/>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页签或区域</w:t>
            </w:r>
          </w:p>
        </w:tc>
        <w:tc>
          <w:tcPr>
            <w:tcW w:type="dxa" w:w="4032"/>
            <w:shd w:fill="17365D"/>
            <w:tcMar>
              <w:top w:w="75" w:type="dxa"/>
              <w:start w:w="100" w:type="dxa"/>
              <w:bottom w:w="75" w:type="dxa"/>
              <w:end w:w="100" w:type="dxa"/>
            </w:tcMar>
            <w:vAlign w:val="center"/>
          </w:tcPr>
          <w:p>
            <w:r>
              <w:rPr>
                <w:rFonts w:ascii="Calibri" w:hAnsi="Calibri" w:eastAsia="Microsoft YaHei"/>
                <w:b/>
                <w:color w:val="FFFFFF"/>
                <w:sz w:val="15"/>
              </w:rPr>
              <w:t>范围</w:t>
            </w:r>
          </w:p>
        </w:tc>
        <w:tc>
          <w:tcPr>
            <w:tcW w:type="dxa" w:w="4536"/>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基本资料</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当前对象全部有效字段</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按字段权限显示、脱敏或隐藏；编辑入口只在当前允许操作含EDIT时出现。</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关联业务</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销售订单、预约、配对任务、箱号、物流商、运单、车辆、节点、签收证据与异常工单</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关联列表返回对象类型、编号、名称、状态、关系、关键时间和详情地址；按权限分页加载。</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附件与凭证</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当前对象及处理过程形成的文件</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显示文件版本、上传者、上传时间、扫描状态、哈希和可用动作；预览及下载均审计。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处理记录</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状态时间线、操作日志和异步任务</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支持按记录类型筛选；默认最新优先，时间字段统一使用香港时间展示。</w:t>
            </w:r>
          </w:p>
        </w:tc>
      </w:tr>
    </w:tbl>
    <w:p>
      <w:pPr>
        <w:spacing w:after="0"/>
      </w:pPr>
    </w:p>
    <w:p>
      <w:pPr>
        <w:pStyle w:val="Heading2"/>
      </w:pPr>
      <w:r>
        <w:t>5.5 详情动作与状态控制</w:t>
      </w:r>
    </w:p>
    <w:tbl>
      <w:tblPr>
        <w:tblStyle w:val="TableGrid"/>
        <w:tblW w:type="dxa" w:w="11376"/>
        <w:jc w:val="center"/>
        <w:tblLayout w:type="fixed"/>
        <w:tblLook w:firstColumn="1" w:firstRow="1" w:lastColumn="0" w:lastRow="0" w:noHBand="0" w:noVBand="1" w:val="04A0"/>
      </w:tblPr>
      <w:tblGrid>
        <w:gridCol w:w="1440"/>
        <w:gridCol w:w="1800"/>
        <w:gridCol w:w="1944"/>
        <w:gridCol w:w="3024"/>
        <w:gridCol w:w="3168"/>
      </w:tblGrid>
      <w:tr>
        <w:trPr>
          <w:tblHeader/>
        </w:trPr>
        <w:tc>
          <w:tcPr>
            <w:tcW w:type="dxa" w:w="1440"/>
            <w:shd w:fill="17365D"/>
            <w:tcMar>
              <w:top w:w="75" w:type="dxa"/>
              <w:start w:w="100" w:type="dxa"/>
              <w:bottom w:w="75" w:type="dxa"/>
              <w:end w:w="100" w:type="dxa"/>
            </w:tcMar>
            <w:vAlign w:val="center"/>
          </w:tcPr>
          <w:p>
            <w:r>
              <w:rPr>
                <w:rFonts w:ascii="Calibri" w:hAnsi="Calibri" w:eastAsia="Microsoft YaHei"/>
                <w:b/>
                <w:color w:val="FFFFFF"/>
                <w:sz w:val="14"/>
              </w:rPr>
              <w:t>动作ID</w:t>
            </w:r>
          </w:p>
        </w:tc>
        <w:tc>
          <w:tcPr>
            <w:tcW w:type="dxa" w:w="1800"/>
            <w:shd w:fill="17365D"/>
            <w:tcMar>
              <w:top w:w="75" w:type="dxa"/>
              <w:start w:w="100" w:type="dxa"/>
              <w:bottom w:w="75" w:type="dxa"/>
              <w:end w:w="100" w:type="dxa"/>
            </w:tcMar>
            <w:vAlign w:val="center"/>
          </w:tcPr>
          <w:p>
            <w:r>
              <w:rPr>
                <w:rFonts w:ascii="Calibri" w:hAnsi="Calibri" w:eastAsia="Microsoft YaHei"/>
                <w:b/>
                <w:color w:val="FFFFFF"/>
                <w:sz w:val="14"/>
              </w:rPr>
              <w:t>动作</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4"/>
              </w:rPr>
              <w:t>角色</w:t>
            </w:r>
          </w:p>
        </w:tc>
        <w:tc>
          <w:tcPr>
            <w:tcW w:type="dxa" w:w="3024"/>
            <w:shd w:fill="17365D"/>
            <w:tcMar>
              <w:top w:w="75" w:type="dxa"/>
              <w:start w:w="100" w:type="dxa"/>
              <w:bottom w:w="75" w:type="dxa"/>
              <w:end w:w="100" w:type="dxa"/>
            </w:tcMar>
            <w:vAlign w:val="center"/>
          </w:tcPr>
          <w:p>
            <w:r>
              <w:rPr>
                <w:rFonts w:ascii="Calibri" w:hAnsi="Calibri" w:eastAsia="Microsoft YaHei"/>
                <w:b/>
                <w:color w:val="FFFFFF"/>
                <w:sz w:val="14"/>
              </w:rPr>
              <w:t>前置条件</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4"/>
              </w:rPr>
              <w:t>成功及刷新规则</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OS-OPS-PRD-19-DA01</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创建履约</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具备本模块创建权限的运营人员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用户登录有效并具备创建或批量权限；关联主数据有效且属于数据权限范围；页面已加载最新字典、业务配置和当前允许操作。</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选择有效订单和操作类型，生成履约编号。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OS-OPS-PRD-19-DA02</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添加物流信息</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绑定物流商、运单、车辆和预约。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OS-OPS-PRD-19-DA03</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出库或交接</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扫码确认箱号并上传签收证据。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OS-OPS-PRD-19-DA04</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刷新物流</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按运单查询第三方节点并幂等写入时间线。 成功后刷新数据版本、状态、时间线、关联数量和当前允许操作；失败不得提前改变界面主状态。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OS-OPS-PRD-19-DA05</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异常处理</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用户登录有效；目标对象存在且属于用户数据权限范围；当前状态包含该动作；页面持有最新数据版本和当前允许操作。涉及金额、库存、附件或第三方结果时必须回源确认。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记录破损、丢失、拒收或地址问题并生成工单。 成功后刷新数据版本、状态、时间线、关联数量和当前允许操作；失败不得提前改变界面主状态。</w:t>
            </w:r>
          </w:p>
        </w:tc>
      </w:tr>
    </w:tbl>
    <w:p>
      <w:pPr>
        <w:spacing w:after="0"/>
      </w:pPr>
    </w:p>
    <w:p>
      <w:pPr>
        <w:pStyle w:val="ListBullet"/>
      </w:pPr>
      <w:r>
        <w:t>主动作与次动作严格按照当前允许操作显示并固定操作类型映射</w:t>
      </w:r>
    </w:p>
    <w:p>
      <w:pPr>
        <w:pStyle w:val="ListBullet"/>
      </w:pPr>
      <w:r>
        <w:t>破坏性、资金、权限、发布、作废和关闭动作必须二次确认并显示影响范围</w:t>
      </w:r>
    </w:p>
    <w:p>
      <w:pPr>
        <w:pStyle w:val="ListBullet"/>
      </w:pPr>
      <w:r>
        <w:t>提交携带id、预期数据版本和客户端请求编号，服务端重复校验角色、数据范围、状态及业务前置</w:t>
      </w:r>
    </w:p>
    <w:p>
      <w:pPr>
        <w:pStyle w:val="ListBullet"/>
      </w:pPr>
      <w:r>
        <w:t>动作超时先用客户端请求编号查询结果，禁止直接重复扣款、发券、发通知、发布或迁移</w:t>
      </w:r>
    </w:p>
    <w:p>
      <w:pPr>
        <w:pStyle w:val="ListBullet"/>
      </w:pPr>
      <w:r>
        <w:t>批量或部分成功必须返回逐项结果、失败原因和补偿入口</w:t>
      </w:r>
    </w:p>
    <w:p>
      <w:pPr>
        <w:pStyle w:val="Heading2"/>
      </w:pPr>
      <w:r>
        <w:t>5.6 详情接口数据与事件</w:t>
      </w:r>
    </w:p>
    <w:tbl>
      <w:tblPr>
        <w:tblStyle w:val="TableGrid"/>
        <w:tblW w:type="dxa" w:w="10224"/>
        <w:jc w:val="center"/>
        <w:tblLayout w:type="fixed"/>
        <w:tblLook w:firstColumn="1" w:firstRow="1" w:lastColumn="0" w:lastRow="0" w:noHBand="0" w:noVBand="1" w:val="04A0"/>
      </w:tblPr>
      <w:tblGrid>
        <w:gridCol w:w="1800"/>
        <w:gridCol w:w="3960"/>
        <w:gridCol w:w="4464"/>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契约</w:t>
            </w:r>
          </w:p>
        </w:tc>
        <w:tc>
          <w:tcPr>
            <w:tcW w:type="dxa" w:w="3960"/>
            <w:shd w:fill="17365D"/>
            <w:tcMar>
              <w:top w:w="75" w:type="dxa"/>
              <w:start w:w="100" w:type="dxa"/>
              <w:bottom w:w="75" w:type="dxa"/>
              <w:end w:w="100" w:type="dxa"/>
            </w:tcMar>
            <w:vAlign w:val="center"/>
          </w:tcPr>
          <w:p>
            <w:r>
              <w:rPr>
                <w:rFonts w:ascii="Calibri" w:hAnsi="Calibri" w:eastAsia="Microsoft YaHei"/>
                <w:b/>
                <w:color w:val="FFFFFF"/>
                <w:sz w:val="15"/>
              </w:rPr>
              <w:t>路径或事件</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5"/>
              </w:rPr>
              <w:t>开发要求</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详情聚合</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/ops/v1/box-fulfillments/{id}</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返回基本资料、状态、数据版本、字段权限、当前允许操作、关联计数和各信息组状态。</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/ops/v1/box-fulfillments/{id}/timeline</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按cursor分页返回不可覆盖的业务节点、操作者、来源端、业务时间和接收时间。</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关联对象</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/ops/v1/box-fulfillments/{id}/relations</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按关联类型分页查询，并执行目标对象数据范围和字段权限。</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操作记录</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/ops/v1/box-fulfillments/{id}/activities</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返回字段变更摘要、状态动作、异步任务和权限可见的审计记录。</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执行业务动作</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POST /ops/v1/box-fulfillments/{id}/actions/{操作类型}</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携带预期数据版本和客户端请求编号；返回新数据版本、状态、当前允许操作及副作用任务。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详情变更事件</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迷你箱物流履约.详情变化事件.v1</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包含事件编号、业务对象编号、数据版本和发生变化的页面区域；前端只刷新受影响信息组。</w:t>
            </w:r>
          </w:p>
        </w:tc>
      </w:tr>
    </w:tbl>
    <w:p>
      <w:pPr>
        <w:spacing w:after="0"/>
      </w:pPr>
    </w:p>
    <w:p>
      <w:pPr>
        <w:pStyle w:val="Heading2"/>
      </w:pPr>
      <w:r>
        <w:t>5.7 详情页异常边界与验收</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OS-OPS-PRD-19-DAC01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从列表、业务编号或深链均能打开同一对象详情并在返回时保留列表上下文</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OS-OPS-PRD-19-DAC02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详情覆盖新增编辑字段、系统字段、状态、责任人、关联业务、附件和操作记录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OS-OPS-PRD-19-DAC03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对象级和字段级权限在接口返回前生效，无权限内容不会先显示后遮盖</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OS-OPS-PRD-19-DAC04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当前状态、时间线、操作记录和当前允许操作使用同一id与数据版本且可以相互解释</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OS-OPS-PRD-19-DAC05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每个动作同时校验角色、数据权限范围、状态、预期数据版本和业务前置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OS-OPS-PRD-19-DAC06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关联对象数量、列表和跳转目标一致，目标对象无权时不泄露敏感摘要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OS-OPS-PRD-19-DAC07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附件预览下载校验扫描状态和权限并形成审计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OS-OPS-PRD-19-DAC08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409并发冲突保留未提交输入并提示最新版本，重复客户端请求编号不产生重复副作用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OS-OPS-PRD-19-DAC09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异步失败、第三方失败和部分成功均显示任务编号、错误与补偿入口</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OS-OPS-PRD-19-DAC10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详情变更事件只刷新发生变化的页面区域，重新查询后各页签数据与主域一致</w:t>
            </w:r>
          </w:p>
        </w:tc>
      </w:tr>
    </w:tbl>
    <w:p>
      <w:pPr>
        <w:spacing w:after="0"/>
      </w:pP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OS-OPS-PRD-19-FP01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创建履约</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选择有效订单和操作类型，生成履约编号。</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OS-OPS-PRD-19-FP02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添加物流信息</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绑定物流商、运单、车辆和预约。</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OS-OPS-PRD-19-FP03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出库或交接</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扫码确认箱号并上传签收证据。</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OS-OPS-PRD-19-FP04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刷新物流</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按运单查询第三方节点并幂等写入时间线。</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OS-OPS-PRD-19-FP05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异常处理</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记录破损、丢失、拒收或地址问题并生成工单。</w:t>
            </w:r>
          </w:p>
        </w:tc>
      </w:tr>
    </w:tbl>
    <w:p>
      <w:pPr>
        <w:spacing w:after="0"/>
      </w:pPr>
    </w:p>
    <w:p>
      <w:pPr>
        <w:pStyle w:val="Heading2"/>
      </w:pPr>
      <w:r>
        <w:t>6.1 创建履约</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OS-OPS-PRD-19-FP01。功能目的为选择有效订单和操作类型，生成履约编号。</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用户登录有效并具备创建或批量权限；关联主数据有效且属于数据权限范围；页面已加载最新字典、业务配置和当前允许操作。</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打开新增界面，按页面分组录入订单、履约类型、预约、箱号、物流商、运单号、提货地址、送达地址、预约时段、司机或团队、车辆、费用；关联对象使用检索选择。点击保存前完成字段级和跨字段校验。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服务端使用客户端请求编号幂等校验，在事务内生成业务编号、主对象、初始状态和审计记录；事务提交后发布领域事件。选择有效订单和操作类型，生成履约编号。</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一张订单可有多个履约单和运单；部分箱履约不改变未选箱体。所有校验必须由服务端再次执行，前端校验只用于即时反馈。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页面提示“创建履约成功”，刷新对象状态、数据版本、当前允许操作、关联对象和时间线；如产生异步任务，同时显示任务编号和进度入口。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客户小程序创建送箱、取箱或召回预约并查看节点。跨端消息只携带业务编号，接收端打开后重新鉴权并查询最新状态。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在允许状态下完成创建履约时仅产生一次预期数据变化和一次审计记录；越权、错误状态、重复提交及版本冲突均不得产生重复对象或越级状态。</w:t>
      </w:r>
    </w:p>
    <w:p>
      <w:pPr>
        <w:pStyle w:val="Heading2"/>
      </w:pPr>
      <w:r>
        <w:t>6.2 添加物流信息</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OS-OPS-PRD-19-FP02。功能目的为绑定物流商、运单、车辆和预约。</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在详情页执行添加物流信息，填写或核对订单、附件、备注、履约编号、订单编号、客户、负责人、更新时间；界面随步骤显示当前节点、下一步和可撤回条件。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/ops/v1/box-fulfillments/{id}/actions/{action}，校验权限、当前状态、预期数据版本和业务不变量，在事务中写入状态及时间线。绑定物流商、运单、车辆和预约。</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一张订单可有多个履约单和运单；节点只能按状态机推进，补录历史节点需授权。所有校验必须由服务端再次执行，前端校验只用于即时反馈。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页面提示“添加物流信息成功”，刷新对象状态、数据版本、当前允许操作、关联对象和时间线；如产生异步任务，同时显示任务编号和进度入口。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工单小程序扫码、签到、拍照和签收。跨端消息只携带业务编号，接收端打开后重新鉴权并查询最新状态。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在允许状态下完成添加物流信息时仅产生一次预期数据变化和一次审计记录；越权、错误状态、重复提交及版本冲突均不得产生重复对象或越级状态。</w:t>
      </w:r>
    </w:p>
    <w:p>
      <w:pPr>
        <w:pStyle w:val="Heading2"/>
      </w:pPr>
      <w:r>
        <w:t>6.3 出库或交接</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OS-OPS-PRD-19-FP03。功能目的为扫码确认箱号并上传签收证据。</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在详情页执行出库或交接，填写或核对订单、附件、备注、履约编号、订单编号、客户、负责人、更新时间；界面随步骤显示当前节点、下一步和可撤回条件。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/ops/v1/box-fulfillments/{id}/actions/{action}，校验权限、当前状态、预期数据版本和业务不变量，在事务中写入状态及时间线。扫码确认箱号并上传签收证据。</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第三方节点与人工交接冲突时进入复核。所有校验必须由服务端再次执行，前端校验只用于即时反馈。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页面提示“出库或交接成功”，刷新对象状态、数据版本、当前允许操作、关联对象和时间线；如产生异步任务，同时显示任务编号和进度入口。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后台异常状态向客服和客户发送分级通知。跨端消息只携带业务编号，接收端打开后重新鉴权并查询最新状态。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在允许状态下完成出库或交接时仅产生一次预期数据变化和一次审计记录；越权、错误状态、重复提交及版本冲突均不得产生重复对象或越级状态。</w:t>
      </w:r>
    </w:p>
    <w:p>
      <w:pPr>
        <w:pStyle w:val="Heading2"/>
      </w:pPr>
      <w:r>
        <w:t>6.4 刷新物流</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OS-OPS-PRD-19-FP04。功能目的为按运单查询第三方节点并幂等写入时间线。</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在详情页执行刷新物流，填写或核对订单、附件、备注、履约编号、订单编号、客户、负责人、更新时间；界面随步骤显示当前节点、下一步和可撤回条件。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/ops/v1/box-fulfillments/{id}/actions/{action}，校验权限、当前状态、预期数据版本和业务不变量，在事务中写入状态及时间线。按运单查询第三方节点并幂等写入时间线。</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一张订单可有多个履约单和运单；节点只能按状态机推进，补录历史节点需授权。所有校验必须由服务端再次执行，前端校验只用于即时反馈。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页面提示“刷新物流成功”，刷新对象状态、数据版本、当前允许操作、关联对象和时间线；如产生异步任务，同时显示任务编号和进度入口。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客户小程序创建送箱、取箱或召回预约并查看节点。跨端消息只携带业务编号，接收端打开后重新鉴权并查询最新状态。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在允许状态下完成刷新物流时仅产生一次预期数据变化和一次审计记录；越权、错误状态、重复提交及版本冲突均不得产生重复对象或越级状态。</w:t>
      </w:r>
    </w:p>
    <w:p>
      <w:pPr>
        <w:pStyle w:val="Heading2"/>
      </w:pPr>
      <w:r>
        <w:t>6.5 异常处理</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OS-OPS-PRD-19-FP05。功能目的为记录破损、丢失、拒收或地址问题并生成工单。</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用户登录有效；目标对象存在且属于用户数据权限范围；当前状态包含该动作；页面持有最新数据版本和当前允许操作。涉及金额、库存、附件或第三方结果时必须回源确认。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在详情页执行异常处理，填写或核对订单、附件、备注、履约编号、订单编号、客户、负责人、更新时间；界面随步骤显示当前节点、下一步和可撤回条件。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/ops/v1/box-fulfillments/{id}/actions/{action}，校验权限、当前状态、预期数据版本和业务不变量，在事务中写入状态及时间线。记录破损、丢失、拒收或地址问题并生成工单。</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一张订单可有多个履约单和运单；节点只能按状态机推进，补录历史节点需授权。所有校验必须由服务端再次执行，前端校验只用于即时反馈。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页面提示“异常处理成功”，刷新对象状态、数据版本、当前允许操作、关联对象和时间线；如产生异步任务，同时显示任务编号和进度入口。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400定位到具体字段并保留输入；403隐藏敏感内容并记录拒绝审计；409展示最新状态并要求刷新；超时先按客户端请求编号查询执行结果；部分成功展示逐项明细和补偿入口。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工单小程序扫码、签到、拍照和签收。跨端消息只携带业务编号，接收端打开后重新鉴权并查询最新状态。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在允许状态下完成异常处理时仅产生一次预期数据变化和一次审计记录；越权、错误状态、重复提交及版本冲突均不得产生重复对象或越级状态。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提交客户端请求编号、预期数据版本和业务参数</w:t>
      </w:r>
    </w:p>
    <w:p>
      <w:pPr>
        <w:pStyle w:val="ListBullet"/>
      </w:pPr>
      <w:r>
        <w:t>服务端校验身份、权限、数据范围、对象状态和业务不变量</w:t>
      </w:r>
    </w:p>
    <w:p>
      <w:pPr>
        <w:pStyle w:val="ListBullet"/>
      </w:pPr>
      <w:r>
        <w:t>事务提交后返回业务编号、数据版本、状态、当前允许操作和副作用任务编号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迷你箱物流履约</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待预约→待配对→待出库→配送中→已送达→待取回→取回中→已入仓；召回中→已返还；异常待处理</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OS-OPS-PRD-19-R01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一张订单可有多个履约单和运单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OS-OPS-PRD-19-R02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节点只能按状态机推进，补录历史节点需授权</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OS-OPS-PRD-19-R03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部分箱履约不改变未选箱体</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OS-OPS-PRD-19-R04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客户地址使用预约确认快照</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OS-OPS-PRD-19-R05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第三方节点与人工交接冲突时进入复核</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OS-OPS-PRD-19-R06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所有写请求携带客户端请求编号和预期数据版本，重复请求返回首次结果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OS-OPS-PRD-19-R07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服务端返回当前允许操作，前端仅据此展示按钮，后端仍逐动作鉴权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OS-OPS-PRD-19-R08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OS-OPS-PRD-19-R09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OS-OPS-PRD-19-R10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BPMN流程与节点责任</w:t>
      </w:r>
    </w:p>
    <w:tbl>
      <w:tblPr>
        <w:tblStyle w:val="TableGrid"/>
        <w:tblW w:type="dxa" w:w="10656"/>
        <w:jc w:val="center"/>
        <w:tblLayout w:type="fixed"/>
        <w:tblLook w:firstColumn="1" w:firstRow="1" w:lastColumn="0" w:lastRow="0" w:noHBand="0" w:noVBand="1" w:val="04A0"/>
      </w:tblPr>
      <w:tblGrid>
        <w:gridCol w:w="2232"/>
        <w:gridCol w:w="4752"/>
        <w:gridCol w:w="3672"/>
      </w:tblGrid>
      <w:tr>
        <w:trPr>
          <w:tblHeader/>
        </w:trPr>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泳道</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6"/>
              </w:rPr>
              <w:t>节点责任</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输出</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客户小程序或AIWA</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提交申请、确认方案、签署或补充资料</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客户端请求编号、客户确认和附件</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运营后台</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校验、受理、分派、审批、状态推进和异常处理</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业务编号、状态、当前允许操作和审计</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工单小程序或执行团队</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接单、签到、扫码、处理和上报</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节点时间、位置、照片和处理结果</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领域服务与第三方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事务、库存、付款、签约、物流和通知</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回调、事件、重试任务和最终结果</w:t>
            </w:r>
          </w:p>
        </w:tc>
      </w:tr>
    </w:tbl>
    <w:p>
      <w:pPr>
        <w:spacing w:after="0"/>
      </w:pPr>
    </w:p>
    <w:p>
      <w:pPr>
        <w:jc w:val="center"/>
      </w:pPr>
      <w:r/>
    </w:p>
    <w:p>
      <w:pPr>
        <w:jc w:val="center"/>
      </w:pPr>
      <w:r>
        <w:rPr>
          <w:rFonts w:ascii="Calibri" w:hAnsi="Calibri" w:eastAsia="Microsoft YaHei"/>
          <w:b w:val="0"/>
          <w:color w:val="667085"/>
          <w:sz w:val="17"/>
        </w:rPr>
        <w:t>图 8-1  迷你箱物流履约业务流程</w:t>
      </w:r>
    </w:p>
    <w:p>
      <w:r>
        <w:t>可编辑BPMN源文件：requirements/bpmn/迷你箱履约.bpmn。流程分支、异常补偿和人工复核必须与本文档状态机保持一致。</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OS-OPS-PRD-19-X01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客户小程序创建送箱、取箱或召回预约并查看节点</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OS-OPS-PRD-19-X02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工单小程序扫码、签到、拍照和签收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OS-OPS-PRD-19-X03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后台异常状态向客服和客户发送分级通知</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客户端缓存仅用于展示，金额、库存、状态和当前允许操作必须回源</w:t>
      </w:r>
    </w:p>
    <w:p>
      <w:pPr>
        <w:pStyle w:val="ListBullet"/>
      </w:pPr>
      <w:r>
        <w:t>离线或网络重试沿用同一客户端请求编号，禁止产生重复业务对象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/ops/v1/box-fulfillments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分页、排序、筛选、数据权限范围、字段脱敏和总数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/ops/v1/box-fulfillments/{id}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返回数据版本、关联对象、时间线和当前允许操作</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/ops/v1/box-fulfillments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使用客户端请求编号幂等，返回业务编号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/ops/v1/box-fulfillments/{id}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使用预期数据版本，冲突返回409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/ops/v1/box-fulfillments/{id}/actions/{action}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迷你箱物流履约.Changed.v1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包含事件编号、业务对象编号、数据版本、发生时间和最小业务数据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返回409和最新数据版本摘要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OS-OPS-PRD-19-AC01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OS-OPS-PRD-19-AC02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OS-OPS-PRD-19-AC03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每个操作仅在当前允许操作允许时显示，直接调用接口仍执行权限与状态校验。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OS-OPS-PRD-19-AC04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OS-OPS-PRD-19-AC05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OS-OPS-PRD-19-AC06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OS-OPS-PRD-19-AC07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OS-OPS-PRD-19-AC08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V2.5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OS-OPS-PRD-19  |  迷你箱物流履约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