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Microsoft YaHei"/>
          <w:b/>
          <w:i w:val="0"/>
          <w:color w:val="6F3F7D"/>
          <w:sz w:val="50"/>
        </w:rPr>
        <w:t>保单管理 PRD</w:t>
      </w:r>
    </w:p>
    <w:p>
      <w:pPr>
        <w:pStyle w:val="Subtitle"/>
      </w:pPr>
      <w:r>
        <w:rPr>
          <w:rFonts w:ascii="Arial" w:hAnsi="Arial" w:eastAsia="Microsoft YaHei"/>
          <w:b w:val="0"/>
          <w:i w:val="0"/>
          <w:color w:val="817986"/>
          <w:sz w:val="22"/>
        </w:rPr>
        <w:t>单模块需求规格 · 保单列表、保单详情、理赔引用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文档属性</w:t>
            </w:r>
          </w:p>
        </w:tc>
        <w:tc>
          <w:tcPr>
            <w:tcW w:type="dxa" w:w="7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文档编号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OS-OPS-PRD-08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产品基线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AiwaBot产品原型 v3.2 / OneStorage 运营后台 V1.1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目标读者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产品、研发、测试、数据、运营、实施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版本日期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V1.0 · 2026-08-24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EAF5"/>
          </w:tcPr>
          <w:p>
            <w:r>
              <w:rPr>
                <w:rFonts w:ascii="Arial" w:hAnsi="Arial" w:eastAsia="Microsoft YaHei"/>
                <w:b/>
                <w:i w:val="0"/>
                <w:color w:val="6F3F7D"/>
                <w:sz w:val="20"/>
              </w:rPr>
              <w:t>模块目标：</w:t>
            </w:r>
            <w:r>
              <w:rPr>
                <w:rFonts w:ascii="Arial" w:hAnsi="Arial" w:eastAsia="Microsoft YaHei"/>
                <w:b w:val="0"/>
                <w:i w:val="0"/>
                <w:color w:val="29242D"/>
                <w:sz w:val="20"/>
              </w:rPr>
              <w:t>管理投保、承保、保单文件、期限和理赔关联。</w:t>
            </w:r>
          </w:p>
        </w:tc>
      </w:tr>
    </w:tbl>
    <w:p>
      <w:pPr>
        <w:spacing w:after="20"/>
      </w:pPr>
    </w:p>
    <w:p>
      <w:pPr>
        <w:pStyle w:val="Heading1"/>
      </w:pPr>
      <w:r>
        <w:t>1. 需求依据与版本口径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最终集成原型：C:/工作资料2026/产品IDE目录/aiwa/AiwaBot产品原型-v3.2.html（含嵌入式 OneStorage 运营后台）。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后台基线：迷你仓/OneStorage_迷你仓运营后台原型_V1.1.html 及配套业务脚本。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客户侧基线：OneStorage_小程序原型.html；内部执行端：OneStorage_内部工单小程序原型_V1.1.html。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一期范围口径：OneStorage_一期需求逐项功能差异清单.md；既有 OSS 主数据、编号与流程优先复用。</w:t>
      </w:r>
    </w:p>
    <w:p>
      <w:pPr>
        <w:pStyle w:val="Heading1"/>
      </w:pPr>
      <w:r>
        <w:t>2. 范围与边界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范围内</w:t>
            </w:r>
          </w:p>
        </w:tc>
        <w:tc>
          <w:tcPr>
            <w:tcW w:type="dxa" w:w="4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范围外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保单管理的列表、详情、创建、编辑和状态动作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其他功能模块主数据的直接维护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关联对象校验、跳转、附件与时间线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绕过状态机或审批的强制改值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权限、数据范围、并发、审计和异常处理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以前端缓存作为最终金额、权限或状态依据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涉及本模块的小程序/内部端交互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未授权第三方自动执行</w:t>
            </w:r>
          </w:p>
        </w:tc>
      </w:tr>
    </w:tbl>
    <w:p>
      <w:pPr>
        <w:spacing w:after="20"/>
      </w:pPr>
    </w:p>
    <w:p>
      <w:pPr>
        <w:pStyle w:val="Heading1"/>
      </w:pPr>
      <w:r>
        <w:t>3. 页面与导航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本模块覆盖：保单列表、保单详情、理赔引用。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列表默认支持关键词、状态、负责人/门店、时间筛选；筛选条件可重置并在返回列表时保留。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详情以主对象为中心展示关联对象、允许动作、附件/凭证和审计时间线；写动作必须显式反馈成功或失败。</w:t>
      </w:r>
    </w:p>
    <w:p>
      <w:pPr>
        <w:pStyle w:val="Heading1"/>
      </w:pPr>
      <w:r>
        <w:t>4. 角色与权限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角色</w:t>
            </w:r>
          </w:p>
        </w:tc>
        <w:tc>
          <w:tcPr>
            <w:tcW w:type="dxa" w:w="7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职责与数据范围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运营管理员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跨门店配置、受理、复核与异常处理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区域/门店负责人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仅授权门店的数据和动作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业务执行人员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按分派和当前允许操作执行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客户/AIWA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仅本人数据或受控工具权限</w:t>
            </w:r>
          </w:p>
        </w:tc>
      </w:tr>
    </w:tbl>
    <w:p>
      <w:pPr>
        <w:spacing w:after="20"/>
      </w:pPr>
    </w:p>
    <w:p>
      <w:pPr>
        <w:pStyle w:val="Heading1"/>
      </w:pPr>
      <w:r>
        <w:t>5. 业务流程说明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EAF5"/>
          </w:tcPr>
          <w:p>
            <w:r>
              <w:rPr>
                <w:rFonts w:ascii="Arial" w:hAnsi="Arial" w:eastAsia="Microsoft YaHei"/>
                <w:b/>
                <w:i w:val="0"/>
                <w:color w:val="6F3F7D"/>
                <w:sz w:val="20"/>
              </w:rPr>
              <w:t>说明：</w:t>
            </w:r>
            <w:r>
              <w:rPr>
                <w:rFonts w:ascii="Arial" w:hAnsi="Arial" w:eastAsia="Microsoft YaHei"/>
                <w:b w:val="0"/>
                <w:i w:val="0"/>
                <w:color w:val="29242D"/>
                <w:sz w:val="20"/>
              </w:rPr>
              <w:t>本模块以查询、配置或主数据维护为主，不单独定义端到端流程；状态变化仍必须遵循对应主域状态机。</w:t>
            </w:r>
          </w:p>
        </w:tc>
      </w:tr>
    </w:tbl>
    <w:p>
      <w:pPr>
        <w:spacing w:after="20"/>
      </w:pPr>
    </w:p>
    <w:p>
      <w:pPr>
        <w:pStyle w:val="Heading1"/>
      </w:pPr>
      <w:r>
        <w:t>6. 功能需求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20"/>
        <w:gridCol w:w="1800"/>
        <w:gridCol w:w="5540"/>
        <w:gridCol w:w="900"/>
      </w:tblGrid>
      <w:tr>
        <w:trPr>
          <w:tblHeader w:val="true"/>
        </w:trPr>
        <w:tc>
          <w:tcPr>
            <w:tcW w:type="dxa" w:w="1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需求ID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功能</w:t>
            </w:r>
          </w:p>
        </w:tc>
        <w:tc>
          <w:tcPr>
            <w:tcW w:type="dxa" w:w="55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详细规则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优先级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M08-01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规则1</w:t>
            </w:r>
          </w:p>
        </w:tc>
        <w:tc>
          <w:tcPr>
            <w:tcW w:type="dxa" w:w="5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保单关联客户、SO、合同和保险产品版本。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M08-02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规则2</w:t>
            </w:r>
          </w:p>
        </w:tc>
        <w:tc>
          <w:tcPr>
            <w:tcW w:type="dxa" w:w="5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承保回调验证签名和幂等；承保中必须有保单号和文件。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M08-03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规则3</w:t>
            </w:r>
          </w:p>
        </w:tc>
        <w:tc>
          <w:tcPr>
            <w:tcW w:type="dxa" w:w="5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客户只可查看本人保单和对外理赔状态。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M08-90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列表与详情</w:t>
            </w:r>
          </w:p>
        </w:tc>
        <w:tc>
          <w:tcPr>
            <w:tcW w:type="dxa" w:w="5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支持关键词、状态、门店/负责人和时间筛选；详情展示关联对象、当前允许操作和审计时间线。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M08-91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导入导出</w:t>
            </w:r>
          </w:p>
        </w:tc>
        <w:tc>
          <w:tcPr>
            <w:tcW w:type="dxa" w:w="5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导出继承筛选、脱敏和数据范围；正式对象导入逐行校验并返回错误。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P1</w:t>
            </w:r>
          </w:p>
        </w:tc>
      </w:tr>
    </w:tbl>
    <w:p>
      <w:pPr>
        <w:spacing w:after="20"/>
      </w:pPr>
    </w:p>
    <w:p>
      <w:pPr>
        <w:pStyle w:val="Heading1"/>
      </w:pPr>
      <w:r>
        <w:t>7. 状态机与业务不变量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3400"/>
        <w:gridCol w:w="4310"/>
      </w:tblGrid>
      <w:tr>
        <w:trPr>
          <w:tblHeader w:val="true"/>
        </w:trPr>
        <w:tc>
          <w:tcPr>
            <w:tcW w:type="dxa" w:w="16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对象</w:t>
            </w:r>
          </w:p>
        </w:tc>
        <w:tc>
          <w:tcPr>
            <w:tcW w:type="dxa" w:w="3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状态/流转</w:t>
            </w:r>
          </w:p>
        </w:tc>
        <w:tc>
          <w:tcPr>
            <w:tcW w:type="dxa" w:w="43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不变量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保单管理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草稿/待处理→处理中→完成/取消/异常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实际状态以本模块规则和当前允许操作为准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同步任务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待发送→成功/失败→重试/人工处理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同步失败不伪装主业务成功</w:t>
            </w:r>
          </w:p>
        </w:tc>
      </w:tr>
    </w:tbl>
    <w:p>
      <w:pPr>
        <w:spacing w:after="20"/>
      </w:pPr>
    </w:p>
    <w:p>
      <w:pPr>
        <w:pStyle w:val="Heading1"/>
      </w:pPr>
      <w:r>
        <w:t>8. 与迷你仓小程序/内部小程序交互规则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客户小程序仅查看本人客户号关联数据；员工端仅查看本人/团队授权任务。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跨端提交先落后台业务记录并返回业务编号；重复客户端请求编号返回原结果。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后台状态变化以事件同步提醒；深链打开后回源校验身份、权限和最新状态。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AIWA只使用受控接口；付款、退款、审批和权限变更禁止自动完成或必须人工确认。</w:t>
      </w:r>
    </w:p>
    <w:p>
      <w:pPr>
        <w:pStyle w:val="Heading1"/>
      </w:pPr>
      <w:r>
        <w:t>9. 通用字段、接口与事件约束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类别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要求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主键/版本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所有对象返回id、业务单号、数据版本、创建时间、更新时间；业务编号不可用展示文案替代。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写请求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携带客户端请求编号与预期数据版本；服务端校验身份、数据范围、状态与必填。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允许动作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返回当前允许操作；客户端只作展示控制，后端仍逐动作鉴权。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事件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成功提交后发布领域事件；通知、搜索、统计最终一致，详情读主域。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附件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短期签名上传；校验类型/大小/哈希/病毒；正式版本不可覆盖。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时间金额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服务器时间、香港时间业务日；金额用最小货币单位并显式币种。</w:t>
            </w:r>
          </w:p>
        </w:tc>
      </w:tr>
    </w:tbl>
    <w:p>
      <w:pPr>
        <w:spacing w:after="20"/>
      </w:pPr>
    </w:p>
    <w:p>
      <w:pPr>
        <w:pStyle w:val="Heading1"/>
      </w:pPr>
      <w:r>
        <w:t>10. 异常、并发与安全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400返回字段级校验并保留输入；401/403重新登录或提示无权限；404避免泄露对象是否存在。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409 数据版本冲突要求刷新详情和当前允许操作，禁止最后写入覆盖。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第三方超时/失败进入重试或人工队列；主业务未确认成功前不得向客户展示完成。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敏感字段最小化、脱敏、加密存储；原文查看、下载、导出与审批均记录审计。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列表、关联选择器、统计、搜索、导出使用同一数据范围策略。</w:t>
      </w:r>
    </w:p>
    <w:p>
      <w:pPr>
        <w:pStyle w:val="Heading1"/>
      </w:pPr>
      <w:r>
        <w:t>11. 验收标准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所有P0规则均有接口、状态机和权限测试。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重复提交不产生重复记录或重复副作用。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后台与小程序/内部端的编号、状态、金额和时间一致。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越权、版本冲突、空数据和第三方失败均有明确处理。</w:t>
      </w:r>
    </w:p>
    <w:p>
      <w:pPr>
        <w:pStyle w:val="Heading1"/>
      </w:pPr>
      <w:r>
        <w:t>12. 研发分工建议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工作包</w:t>
            </w:r>
          </w:p>
        </w:tc>
        <w:tc>
          <w:tcPr>
            <w:tcW w:type="dxa" w:w="6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负责内容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后端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领域模型、状态机、权限、接口和事件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运营后台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列表、详情、表单、动作和异常态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跨端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小程序/内部端展示、申请、通知和深链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测试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规则、并发、权限、异常和回归验收</w:t>
            </w:r>
          </w:p>
        </w:tc>
      </w:tr>
    </w:tbl>
    <w:p>
      <w:pPr>
        <w:spacing w:after="20"/>
      </w:pPr>
    </w:p>
    <w:p>
      <w:pPr>
        <w:pStyle w:val="Heading1"/>
      </w:pPr>
      <w:r>
        <w:t>13. 待业务确认与实施依赖</w:t>
      </w:r>
    </w:p>
    <w:p>
      <w:pPr>
        <w:pStyle w:val="ListBullet"/>
        <w:keepNext/>
      </w:pPr>
      <w:r>
        <w:rPr>
          <w:rFonts w:ascii="Arial" w:hAnsi="Arial" w:eastAsia="Microsoft YaHei"/>
          <w:b w:val="0"/>
          <w:i w:val="0"/>
          <w:color w:val="29242D"/>
          <w:sz w:val="20"/>
        </w:rPr>
        <w:t>状态文案、SLA/提醒阈值、审批角色、通知渠道和保留期需在开发前冻结为配置表。</w:t>
      </w:r>
    </w:p>
    <w:p>
      <w:pPr>
        <w:pStyle w:val="ListBullet"/>
        <w:keepNext/>
      </w:pPr>
      <w:r>
        <w:rPr>
          <w:rFonts w:ascii="Arial" w:hAnsi="Arial" w:eastAsia="Microsoft YaHei"/>
          <w:b w:val="0"/>
          <w:i w:val="0"/>
          <w:color w:val="29242D"/>
          <w:sz w:val="20"/>
        </w:rPr>
        <w:t>支付、电子签约、物流、WhatsApp/媒体、电话线路等仅在账号、API、模板、合规授权齐备后启用。</w:t>
      </w:r>
    </w:p>
    <w:p>
      <w:pPr>
        <w:pStyle w:val="ListBullet"/>
        <w:keepNext/>
      </w:pPr>
      <w:r>
        <w:rPr>
          <w:rFonts w:ascii="Arial" w:hAnsi="Arial" w:eastAsia="Microsoft YaHei"/>
          <w:b w:val="0"/>
          <w:i w:val="0"/>
          <w:color w:val="29242D"/>
          <w:sz w:val="20"/>
        </w:rPr>
        <w:t>现有OSS字段、枚举、编号生成和批核规则需通过样本数据再次确认；差异进入映射表，不在前端硬适配。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所有P0需求进入接口契约、状态机自动化测试与UAT；P1按一期排期和依赖评审。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i w:val="0"/>
        <w:color w:val="817986"/>
        <w:sz w:val="16"/>
      </w:rPr>
      <w:t xml:space="preserve">内部资料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Microsoft YaHei"/>
        <w:b w:val="0"/>
        <w:i w:val="0"/>
        <w:color w:val="817986"/>
        <w:sz w:val="16"/>
      </w:rPr>
      <w:t>OneStorage  ·  运营后台 PRD  ·  OS-OPS-PRD-08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color w:val="2924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6F3F7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81798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7" w:hanging="259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7" w:hanging="259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保单管理 PRD</dc:title>
  <dc:subject>OneStorage 迷你仓运营后台 PRD</dc:subject>
  <dc:creator>OneStorage 产品组</dc:creator>
  <cp:keywords>PRD, 迷你仓, 运营后台, 小程序, BPMN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