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转仓管理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转仓列表、转仓详情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OS-OPS-PRD-16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处理目标仓锁定、费用差额、搬仓和合同切换。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转仓管理的列表、详情、创建、编辑和状态动作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本模块覆盖：转仓列表、转仓详情。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转仓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M16-01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目标仓位必须原子锁定并设置有效期。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M16-02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客户确认租金、按金和手续费差额后安排搬仓。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M16-03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新旧仓切换必须原子完成或可补偿回滚。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M16-90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M16-91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转仓管理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转仓管理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