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/>
          <w:i w:val="0"/>
          <w:color w:val="6F3F7D"/>
          <w:sz w:val="50"/>
        </w:rPr>
        <w:t>迷你箱套餐管理 PRD</w:t>
      </w:r>
    </w:p>
    <w:p>
      <w:pPr>
        <w:pStyle w:val="Subtitle"/>
      </w:pPr>
      <w:r>
        <w:rPr>
          <w:rFonts w:ascii="Arial" w:hAnsi="Arial" w:eastAsia="Microsoft YaHei"/>
          <w:b w:val="0"/>
          <w:i w:val="0"/>
          <w:color w:val="817986"/>
          <w:sz w:val="22"/>
        </w:rPr>
        <w:t>单模块需求规格 · 套餐列表、套餐版本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文档属性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文档编号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OS-OPS-PRD-20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产品基线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AiwaBot产品原型 v3.2 / OneStorage 运营后台 V1.1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目标读者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产品、研发、测试、数据、运营、实施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版本日期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V1.0 · 2026-08-24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模块目标：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维护箱数、租期、价格、素材和配送服务范围。</w:t>
            </w:r>
          </w:p>
        </w:tc>
      </w:tr>
    </w:tbl>
    <w:p>
      <w:pPr>
        <w:spacing w:after="20"/>
      </w:pPr>
    </w:p>
    <w:p>
      <w:pPr>
        <w:pStyle w:val="Heading1"/>
      </w:pPr>
      <w:r>
        <w:t>1. 需求依据与版本口径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最终集成原型：C:/工作资料2026/产品IDE目录/aiwa/AiwaBot产品原型-v3.2.html（含嵌入式 OneStorage 运营后台）。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后台基线：迷你仓/OneStorage_迷你仓运营后台原型_V1.1.html 及配套业务脚本。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客户侧基线：OneStorage_小程序原型.html；内部执行端：OneStorage_内部工单小程序原型_V1.1.html。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一期范围口径：OneStorage_一期需求逐项功能差异清单.md；既有 OSS 主数据、编号与流程优先复用。</w:t>
      </w:r>
    </w:p>
    <w:p>
      <w:pPr>
        <w:pStyle w:val="Heading1"/>
      </w:pPr>
      <w:r>
        <w:t>2. 范围与边界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范围内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范围外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迷你箱套餐管理的列表、详情、创建、编辑和状态动作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其他功能模块主数据的直接维护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关联对象校验、跳转、附件与时间线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绕过状态机或审批的强制改值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权限、数据范围、并发、审计和异常处理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以前端缓存作为最终金额、权限或状态依据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涉及本模块的小程序/内部端交互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未授权第三方自动执行</w:t>
            </w:r>
          </w:p>
        </w:tc>
      </w:tr>
    </w:tbl>
    <w:p>
      <w:pPr>
        <w:spacing w:after="20"/>
      </w:pPr>
    </w:p>
    <w:p>
      <w:pPr>
        <w:pStyle w:val="Heading1"/>
      </w:pPr>
      <w:r>
        <w:t>3. 页面与导航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本模块覆盖：套餐列表、套餐版本。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列表默认支持关键词、状态、负责人/门店、时间筛选；筛选条件可重置并在返回列表时保留。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详情以主对象为中心展示关联对象、允许动作、附件/凭证和审计时间线；写动作必须显式反馈成功或失败。</w:t>
      </w:r>
    </w:p>
    <w:p>
      <w:pPr>
        <w:pStyle w:val="Heading1"/>
      </w:pPr>
      <w:r>
        <w:t>4. 角色与权限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角色</w:t>
            </w:r>
          </w:p>
        </w:tc>
        <w:tc>
          <w:tcPr>
            <w:tcW w:type="dxa" w:w="7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职责与数据范围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运营管理员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跨门店配置、受理、复核与异常处理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区域/门店负责人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仅授权门店的数据和动作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业务执行人员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按分派和当前允许操作执行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客户/AIWA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仅本人数据或受控工具权限</w:t>
            </w:r>
          </w:p>
        </w:tc>
      </w:tr>
    </w:tbl>
    <w:p>
      <w:pPr>
        <w:spacing w:after="20"/>
      </w:pPr>
    </w:p>
    <w:p>
      <w:pPr>
        <w:pStyle w:val="Heading1"/>
      </w:pPr>
      <w:r>
        <w:t>5. 业务流程说明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AF5"/>
          </w:tcPr>
          <w:p>
            <w:r>
              <w:rPr>
                <w:rFonts w:ascii="Arial" w:hAnsi="Arial" w:eastAsia="Microsoft YaHei"/>
                <w:b/>
                <w:i w:val="0"/>
                <w:color w:val="6F3F7D"/>
                <w:sz w:val="20"/>
              </w:rPr>
              <w:t>说明：</w:t>
            </w:r>
            <w:r>
              <w:rPr>
                <w:rFonts w:ascii="Arial" w:hAnsi="Arial" w:eastAsia="Microsoft YaHei"/>
                <w:b w:val="0"/>
                <w:i w:val="0"/>
                <w:color w:val="29242D"/>
                <w:sz w:val="20"/>
              </w:rPr>
              <w:t>本模块以查询、配置或主数据维护为主，不单独定义端到端流程；状态变化仍必须遵循对应主域状态机。</w:t>
            </w:r>
          </w:p>
        </w:tc>
      </w:tr>
    </w:tbl>
    <w:p>
      <w:pPr>
        <w:spacing w:after="20"/>
      </w:pPr>
    </w:p>
    <w:p>
      <w:pPr>
        <w:pStyle w:val="Heading1"/>
      </w:pPr>
      <w:r>
        <w:t>6. 功能需求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20"/>
        <w:gridCol w:w="1800"/>
        <w:gridCol w:w="5540"/>
        <w:gridCol w:w="900"/>
      </w:tblGrid>
      <w:tr>
        <w:trPr>
          <w:tblHeader w:val="true"/>
        </w:trPr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需求ID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功能</w:t>
            </w:r>
          </w:p>
        </w:tc>
        <w:tc>
          <w:tcPr>
            <w:tcW w:type="dxa" w:w="55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详细规则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M20-01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规则1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套餐包含箱数、租期、价格、图片、服务范围和有效期。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M20-02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规则2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小程序只展示已发布且符合配送地址的版本。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M20-03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规则3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下单冻结套餐快照。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M20-90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列表与详情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支持关键词、状态、门店/负责人和时间筛选；详情展示关联对象、当前允许操作和审计时间线。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M20-91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导入导出</w:t>
            </w:r>
          </w:p>
        </w:tc>
        <w:tc>
          <w:tcPr>
            <w:tcW w:type="dxa" w:w="5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导出继承筛选、脱敏和数据范围；正式对象导入逐行校验并返回错误。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P1</w:t>
            </w:r>
          </w:p>
        </w:tc>
      </w:tr>
    </w:tbl>
    <w:p>
      <w:pPr>
        <w:spacing w:after="20"/>
      </w:pPr>
    </w:p>
    <w:p>
      <w:pPr>
        <w:pStyle w:val="Heading1"/>
      </w:pPr>
      <w:r>
        <w:t>7. 状态机与业务不变量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400"/>
        <w:gridCol w:w="43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对象</w:t>
            </w:r>
          </w:p>
        </w:tc>
        <w:tc>
          <w:tcPr>
            <w:tcW w:type="dxa" w:w="3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状态/流转</w:t>
            </w:r>
          </w:p>
        </w:tc>
        <w:tc>
          <w:tcPr>
            <w:tcW w:type="dxa" w:w="4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不变量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迷你箱套餐管理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草稿/待处理→处理中→完成/取消/异常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实际状态以本模块规则和当前允许操作为准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同步任务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待发送→成功/失败→重试/人工处理</w:t>
            </w:r>
          </w:p>
        </w:tc>
        <w:tc>
          <w:tcPr>
            <w:tcW w:type="dxa" w:w="4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同步失败不伪装主业务成功</w:t>
            </w:r>
          </w:p>
        </w:tc>
      </w:tr>
    </w:tbl>
    <w:p>
      <w:pPr>
        <w:spacing w:after="20"/>
      </w:pPr>
    </w:p>
    <w:p>
      <w:pPr>
        <w:pStyle w:val="Heading1"/>
      </w:pPr>
      <w:r>
        <w:t>8. 与迷你仓小程序/内部小程序交互规则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客户小程序仅查看本人客户号关联数据；员工端仅查看本人/团队授权任务。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跨端提交先落后台业务记录并返回业务编号；重复客户端请求编号返回原结果。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后台状态变化以事件同步提醒；深链打开后回源校验身份、权限和最新状态。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AIWA只使用受控接口；付款、退款、审批和权限变更禁止自动完成或必须人工确认。</w:t>
      </w:r>
    </w:p>
    <w:p>
      <w:pPr>
        <w:pStyle w:val="Heading1"/>
      </w:pPr>
      <w:r>
        <w:t>9. 通用字段、接口与事件约束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类别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主键/版本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所有对象返回id、业务单号、数据版本、创建时间、更新时间；业务编号不可用展示文案替代。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写请求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携带客户端请求编号与预期数据版本；服务端校验身份、数据范围、状态与必填。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允许动作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返回当前允许操作；客户端只作展示控制，后端仍逐动作鉴权。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事件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成功提交后发布领域事件；通知、搜索、统计最终一致，详情读主域。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附件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短期签名上传；校验类型/大小/哈希/病毒；正式版本不可覆盖。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时间金额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7"/>
              </w:rPr>
              <w:t>服务器时间、香港时间业务日；金额用最小货币单位并显式币种。</w:t>
            </w:r>
          </w:p>
        </w:tc>
      </w:tr>
    </w:tbl>
    <w:p>
      <w:pPr>
        <w:spacing w:after="20"/>
      </w:pPr>
    </w:p>
    <w:p>
      <w:pPr>
        <w:pStyle w:val="Heading1"/>
      </w:pPr>
      <w:r>
        <w:t>10. 异常、并发与安全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400返回字段级校验并保留输入；401/403重新登录或提示无权限；404避免泄露对象是否存在。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409 数据版本冲突要求刷新详情和当前允许操作，禁止最后写入覆盖。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第三方超时/失败进入重试或人工队列；主业务未确认成功前不得向客户展示完成。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敏感字段最小化、脱敏、加密存储；原文查看、下载、导出与审批均记录审计。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列表、关联选择器、统计、搜索、导出使用同一数据范围策略。</w:t>
      </w:r>
    </w:p>
    <w:p>
      <w:pPr>
        <w:pStyle w:val="Heading1"/>
      </w:pPr>
      <w:r>
        <w:t>11. 验收标准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所有P0规则均有接口、状态机和权限测试。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重复提交不产生重复记录或重复副作用。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后台与小程序/内部端的编号、状态、金额和时间一致。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越权、版本冲突、空数据和第三方失败均有明确处理。</w:t>
      </w:r>
    </w:p>
    <w:p>
      <w:pPr>
        <w:pStyle w:val="Heading1"/>
      </w:pPr>
      <w:r>
        <w:t>12. 研发分工建议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工作包</w:t>
            </w:r>
          </w:p>
        </w:tc>
        <w:tc>
          <w:tcPr>
            <w:tcW w:type="dxa" w:w="6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</w:pPr>
            <w:r/>
            <w:r>
              <w:rPr>
                <w:rFonts w:ascii="Arial" w:hAnsi="Arial" w:eastAsia="Microsoft YaHei"/>
                <w:b/>
                <w:i w:val="0"/>
                <w:color w:val="1F4D78"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后端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领域模型、状态机、权限、接口和事件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运营后台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列表、详情、表单、动作和异常态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跨端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小程序/内部端展示、申请、通知和深链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测试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Arial" w:hAnsi="Arial" w:eastAsia="Microsoft YaHei"/>
                <w:b w:val="0"/>
                <w:i w:val="0"/>
                <w:color w:val="29242D"/>
                <w:sz w:val="18"/>
              </w:rPr>
              <w:t>规则、并发、权限、异常和回归验收</w:t>
            </w:r>
          </w:p>
        </w:tc>
      </w:tr>
    </w:tbl>
    <w:p>
      <w:pPr>
        <w:spacing w:after="20"/>
      </w:pPr>
    </w:p>
    <w:p>
      <w:pPr>
        <w:pStyle w:val="Heading1"/>
      </w:pPr>
      <w:r>
        <w:t>13. 待业务确认与实施依赖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状态文案、SLA/提醒阈值、审批角色、通知渠道和保留期需在开发前冻结为配置表。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支付、电子签约、物流、WhatsApp/媒体、电话线路等仅在账号、API、模板、合规授权齐备后启用。</w:t>
      </w:r>
    </w:p>
    <w:p>
      <w:pPr>
        <w:pStyle w:val="ListBullet"/>
        <w:keepNext/>
      </w:pPr>
      <w:r>
        <w:rPr>
          <w:rFonts w:ascii="Arial" w:hAnsi="Arial" w:eastAsia="Microsoft YaHei"/>
          <w:b w:val="0"/>
          <w:i w:val="0"/>
          <w:color w:val="29242D"/>
          <w:sz w:val="20"/>
        </w:rPr>
        <w:t>现有OSS字段、枚举、编号生成和批核规则需通过样本数据再次确认；差异进入映射表，不在前端硬适配。</w:t>
      </w:r>
    </w:p>
    <w:p>
      <w:pPr>
        <w:pStyle w:val="ListBullet"/>
      </w:pPr>
      <w:r>
        <w:rPr>
          <w:rFonts w:ascii="Arial" w:hAnsi="Arial" w:eastAsia="Microsoft YaHei"/>
          <w:b w:val="0"/>
          <w:i w:val="0"/>
          <w:color w:val="29242D"/>
          <w:sz w:val="20"/>
        </w:rPr>
        <w:t>所有P0需求进入接口契约、状态机自动化测试与UAT；P1按一期排期和依赖评审。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817986"/>
        <w:sz w:val="16"/>
      </w:rPr>
      <w:t xml:space="preserve">内部资料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i w:val="0"/>
        <w:color w:val="817986"/>
        <w:sz w:val="16"/>
      </w:rPr>
      <w:t>OneStorage  ·  运营后台 PRD  ·  OS-OPS-PRD-20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924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6F3F7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81798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59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迷你箱套餐管理 PRD</dc:title>
  <dc:subject>OneStorage 迷你仓运营后台 PRD</dc:subject>
  <dc:creator>OneStorage 产品组</dc:creator>
  <cp:keywords>PRD, 迷你仓, 运营后台, 小程序, BPMN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