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工单分析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OS-OPS-PRD-22  |  V2.4  |  2026-09-09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分析工单数量、首次响应、解决时长、SLA达标率、来源和责任团队。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分析工单数量、首次响应、解决时长、SLA达标率、来源和责任团队。 本模块是只读分析看板，只定义统计查询、指标口径、趋势、明细下钻和报表导出，不提供工单或报表的新增、编辑表单。工单创建、转派、处理、复核和关闭统一由工单中心及工单小程序负责。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V2.4  2026-09-09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统计时区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Asia/Hong_Kong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原型数据说明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原型数字用于界面说明，不作为验收数据；验收须用分子、分母和工单明细复算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本模块界面直接取自 AiwaBot产品原型-v3.2.html。真实截图及其与功能点的对应关系见第2.1节。</w:t>
      </w:r>
    </w:p>
    <w:p>
      <w:pPr>
        <w:pStyle w:val="Heading1"/>
      </w:pPr>
      <w:r>
        <w:t>2 用户角色、界面与权限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952"/>
        <w:gridCol w:w="5256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9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2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可用能力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全部或授权区域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查看全部指标、口径、下钻和导出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区域/门店负责人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查看本范围处理效率、风险和团队表现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客服/维修主管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所属团队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查看队列、SLA、处理人表现及脱敏明细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工单处理人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本人或获授权团队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查看本人指标和可见工单明细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数据管理员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统计域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维护口径版本、质量校验和重算任务，不直接修改指标值</w:t>
            </w:r>
          </w:p>
        </w:tc>
      </w:tr>
    </w:tbl>
    <w:p>
      <w:pPr>
        <w:spacing w:after="0"/>
      </w:pPr>
    </w:p>
    <w:p>
      <w:pPr>
        <w:pStyle w:val="Heading2"/>
      </w:pPr>
      <w:r>
        <w:t>2.1 界面与功能对应说明</w:t>
      </w:r>
    </w:p>
    <w:p>
      <w:r>
        <w:t>本节把原型中的真实界面与功能点逐一对应。截图用于确定页面区域、入口和交互位置；字段校验、状态变化和服务端处理以本PRD后续功能规格为准。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47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2-workorder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2-1  工单分析指标与趋势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说明项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界面辅助说明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对应功能点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OS-OPS-PRD-22-FP01 切换统计范围；OS-OPS-PRD-22-FP02 查看指标口径；OS-OPS-PRD-22-FP03 查看趋势与分布；OS-OPS-PRD-22-FP04 下钻工单明细；OS-OPS-PRD-22-FP05 导出分析报告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页面区域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顶部为周期和范围筛选，中部为指标卡与图表，内容区提供异常、趋势和下钻入口。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交互要求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筛选变化后组件分别进入加载态；图表显示口径、截止时间和空态。点击卡片、图例或数据点时携带当前筛选下钻。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状态与权限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所有行级和详情动作由allowedActions控制；无权限时隐藏入口，直接调用接口仍返回403并记录审计。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页面结构与筛选</w:t>
      </w:r>
    </w:p>
    <w:p>
      <w:pPr>
        <w:pStyle w:val="ListBullet"/>
      </w:pPr>
      <w:r>
        <w:t>原型顶部工单处理时效区展示平均首次响应、平均解决时长、SLA达标率及超时/即将超时</w:t>
      </w:r>
    </w:p>
    <w:p>
      <w:pPr>
        <w:pStyle w:val="ListBullet"/>
      </w:pPr>
      <w:r>
        <w:t>第二行状态卡展示当前开放、待受理、处理中、待客户补充、SLA风险和今日已完成</w:t>
      </w:r>
    </w:p>
    <w:p>
      <w:pPr>
        <w:pStyle w:val="ListBullet"/>
      </w:pPr>
      <w:r>
        <w:t>中部SLA处理规则按优先级展示目标与消耗，工单来源展示各来源数量</w:t>
      </w:r>
    </w:p>
    <w:p>
      <w:pPr>
        <w:pStyle w:val="ListBullet"/>
      </w:pPr>
      <w:r>
        <w:t>多维运营分析展示趋势、类别、团队和门店维度</w:t>
      </w:r>
    </w:p>
    <w:p>
      <w:pPr>
        <w:pStyle w:val="ListBullet"/>
      </w:pPr>
      <w:r>
        <w:t>每个组件独立返回状态、watermark、metricVersion和可下钻参数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528"/>
        <w:gridCol w:w="5328"/>
      </w:tblGrid>
      <w:tr>
        <w:trPr>
          <w:tblHeader/>
        </w:trPr>
        <w:tc>
          <w:tcPr>
            <w:tcW w:type="dxa" w:w="18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筛选项</w:t>
            </w:r>
          </w:p>
        </w:tc>
        <w:tc>
          <w:tcPr>
            <w:tcW w:type="dxa" w:w="35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默认与选项</w:t>
            </w:r>
          </w:p>
        </w:tc>
        <w:tc>
          <w:tcPr>
            <w:tcW w:type="dxa" w:w="53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统计规则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统计周期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默认近7日；支持今日、近7日、近30日、本月和自定义。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自然日使用Asia/Hong_Kong；结束日包含当天；时点卡片统一使用asOfTime。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区域/店铺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默认用户dataScope内全部，可逐级多选。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按工单创建时的服务店铺快照统计；跨店转派不回写历史来源店铺。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工单类别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使用已发布类别树，可选择父类。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父类包含全部有效子类；历史工单保留创建时categoryVersion。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工单来源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客户小程序售后、AIWA客服转入、系统/巡检异常、维修小程序报修等。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来源在建单时固化；后续转派不改变sourceCode。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优先级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高、中、低及已发布扩展等级。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使用统计时有效的priorityCode；变更优先级的SLA按策略版本记录生效点。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团队/负责人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默认全部授权团队和人员，可联动选择。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处理量按完成时责任快照；当前开放量按asOfTime当前责任人。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SLA风险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正常、即将超时、已超时、豁免、无策略。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风险状态由查询服务按asOfTime和策略版本计算，不使用前端倒计时结果汇总。</w:t>
            </w:r>
          </w:p>
        </w:tc>
      </w:tr>
    </w:tbl>
    <w:p>
      <w:pPr>
        <w:spacing w:after="0"/>
      </w:pPr>
    </w:p>
    <w:p>
      <w:pPr>
        <w:pStyle w:val="ListBullet"/>
      </w:pPr>
      <w:r>
        <w:t>任一筛选变化使用同一queryContext刷新所有组件</w:t>
      </w:r>
    </w:p>
    <w:p>
      <w:pPr>
        <w:pStyle w:val="ListBullet"/>
      </w:pPr>
      <w:r>
        <w:t>返回页面保留筛选、滚动位置和图表粒度</w:t>
      </w:r>
    </w:p>
    <w:p>
      <w:pPr>
        <w:pStyle w:val="ListBullet"/>
      </w:pPr>
      <w:r>
        <w:t>URL只保存非敏感筛选编码，不写客户、电话、地址和工单描述</w:t>
      </w:r>
    </w:p>
    <w:p>
      <w:pPr>
        <w:pStyle w:val="ListBullet"/>
      </w:pPr>
      <w:r>
        <w:t>当前周期对比上一周期相同已过时长</w:t>
      </w:r>
    </w:p>
    <w:p>
      <w:pPr>
        <w:pStyle w:val="Heading1"/>
      </w:pPr>
      <w:r>
        <w:t>4 指标统计口径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2016"/>
        <w:gridCol w:w="7560"/>
      </w:tblGrid>
      <w:tr>
        <w:trPr>
          <w:tblHeader/>
        </w:trPr>
        <w:tc>
          <w:tcPr>
            <w:tcW w:type="dxa" w:w="10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指标</w:t>
            </w:r>
          </w:p>
        </w:tc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名称</w:t>
            </w:r>
          </w:p>
        </w:tc>
        <w:tc>
          <w:tcPr>
            <w:tcW w:type="dxa" w:w="75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业务定义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TA01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平均首次响应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已发生首次有效响应的工单，从SLA开始到首次有效人工响应的平均有效分钟数。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TA02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平均解决时长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本期已解决工单从SLA开始到首次进入已解决状态的平均有效小时数。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TA03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SLA达标率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本期达到可判定节点的工单中，同时满足首次响应和解决时限的工单比例。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TA04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已超时工单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截至asOfTime任一当前生效SLA节点已超过dueAt且尚未完成的开放工单数。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TA05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即将超时工单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截至asOfTime仍未超时，但剩余有效时长小于或等于预警阈值的开放工单数。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TA06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当前开放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截至asOfTime处于待受理、已分派、已接单、已签到、处理中、待客户补充或待复核的唯一工单数。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TA07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待受理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截至asOfTime尚未完成有效受理的开放工单数。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TA08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处理中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截至asOfTime已开始处理且尚未进入解决、关闭或取消状态的唯一工单数。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TA09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待客户补充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截至asOfTime因缺少客户信息而进入等待客户补充状态的唯一工单数。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TA10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今日已完成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Asia/Hong_Kong当日进入已解决或已关闭且当前未重开的唯一工单数。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TA11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重开率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本期已解决工单中，在重开观察窗内被重新打开的唯一工单比例。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TA12</w:t>
            </w:r>
          </w:p>
        </w:tc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满意度</w:t>
            </w:r>
          </w:p>
        </w:tc>
        <w:tc>
          <w:tcPr>
            <w:tcW w:type="dxa" w:w="75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本期收到有效评价的已完成工单平均评分及满意评价占比。</w:t>
            </w:r>
          </w:p>
        </w:tc>
      </w:tr>
    </w:tbl>
    <w:p>
      <w:pPr>
        <w:spacing w:after="0"/>
      </w:pPr>
    </w:p>
    <w:p>
      <w:pPr>
        <w:pStyle w:val="Heading2"/>
      </w:pPr>
      <w:r>
        <w:t>4.1 公式与时间锚点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5400"/>
        <w:gridCol w:w="4176"/>
      </w:tblGrid>
      <w:tr>
        <w:trPr>
          <w:tblHeader/>
        </w:trPr>
        <w:tc>
          <w:tcPr>
            <w:tcW w:type="dxa" w:w="10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指标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计算公式</w:t>
            </w:r>
          </w:p>
        </w:tc>
        <w:tc>
          <w:tcPr>
            <w:tcW w:type="dxa" w:w="417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时间口径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TA01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SUM(firstResponseAt - slaStartAt - approvedPauseBeforeResponse) / respondedTicketCount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按firstResponseAt归入周期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TA02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SUM(firstResolvedAt - slaStartAt - approvedPauseDuration) / resolvedTicketCount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按firstResolvedAt归入周期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TA03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slaMetTicketCount / slaEvaluableTicketCount * 100%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按完成或考核截止节点归入周期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TA04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COUNT DISTINCT ticketId WHERE effectiveNow &gt; dueAt AND node incomplete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时点库存，取asOfTime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TA05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COUNT DISTINCT ticketId WHERE 0 &lt; remainingEffectiveMinutes &lt;= warningThreshold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时点库存，取asOfTime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TA06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COUNT DISTINCT ticketId in openStatusSet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时点库存，取asOfTime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TA07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COUNT DISTINCT ticketId WHERE acceptedAt IS NULL AND status in receivableSet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时点库存，取asOfTime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TA08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COUNT DISTINCT ticketId WHERE status in processingSet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时点库存，取asOfTime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TA09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COUNT DISTINCT ticketId WHERE status = WAITING_CUSTOMER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时点库存，取asOfTime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TA10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COUNT DISTINCT ticketId WHERE completedAt in today AND not reopened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按completedAt归入自然日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TA11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reopenedTicketCount / resolvedTicketCount * 100%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分母按firstResolvedAt，重开按reopenedAt追溯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TA12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AVG(validScore); satisfiedCount / validSurveyCount * 100%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按surveySubmittedAt归入周期</w:t>
            </w:r>
          </w:p>
        </w:tc>
      </w:tr>
    </w:tbl>
    <w:p>
      <w:pPr>
        <w:spacing w:after="0"/>
      </w:pPr>
    </w:p>
    <w:p>
      <w:pPr>
        <w:pStyle w:val="Heading2"/>
      </w:pPr>
      <w:r>
        <w:t>4.2 排除、去重与下钻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5832"/>
        <w:gridCol w:w="3744"/>
      </w:tblGrid>
      <w:tr>
        <w:trPr>
          <w:tblHeader/>
        </w:trPr>
        <w:tc>
          <w:tcPr>
            <w:tcW w:type="dxa" w:w="10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指标</w:t>
            </w:r>
          </w:p>
        </w:tc>
        <w:tc>
          <w:tcPr>
            <w:tcW w:type="dxa" w:w="58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排除与去重规则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下钻结果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TA01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排除测试、已撤销、重复合并从单；机器人自动回复不算有效响应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首次响应工单明细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TA02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排除测试、已撤销；重开后的后续轮次另计轮次时长但不改写首次解决时长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已解决工单及处理时间线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TA03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无SLA策略、暂停未恢复、测试、撤销及获批豁免工单不进入分母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达标与未达标明细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TA04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已关闭、已取消、获批豁免和批准暂停期间不计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超时节点、超时分钟和负责人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TA05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与TA04互斥；阈值按SLA策略版本返回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剩余时长、预警级别和负责人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TA06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已解决、已关闭、已取消、测试和合并从单排除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开放工单列表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TA07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自动建单但已撤销、测试及合并从单排除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待受理时长和队列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TA08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待客户补充单独计入TA09，不与本指标重复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处理阶段、负责人和停留时长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TA09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只有状态原因属于已发布等待客户原因字典才计入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等待起始、客户最近回复和暂停状态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TA10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同日多次解决只计一次；重开后从已完成移出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今日完成工单及耗时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TA11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系统回退、误操作撤销和测试工单排除；观察窗由策略返回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重开原因和处理轮次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TA12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空白、重复、测试及超过评价有效期的问卷排除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评分、评价渠道和关联工单</w:t>
            </w:r>
          </w:p>
        </w:tc>
      </w:tr>
    </w:tbl>
    <w:p>
      <w:pPr>
        <w:spacing w:after="0"/>
      </w:pPr>
    </w:p>
    <w:p>
      <w:pPr>
        <w:pStyle w:val="ListBullet"/>
      </w:pPr>
      <w:r>
        <w:t>首次有效响应必须由人工处理人产生，纯机器人消息和系统状态通知不计</w:t>
      </w:r>
    </w:p>
    <w:p>
      <w:pPr>
        <w:pStyle w:val="ListBullet"/>
      </w:pPr>
      <w:r>
        <w:t>有效处理时长=节点结束时间-SLA开始时间-获批暂停时长，暂停原因和区间均须可审计</w:t>
      </w:r>
    </w:p>
    <w:p>
      <w:pPr>
        <w:pStyle w:val="ListBullet"/>
      </w:pPr>
      <w:r>
        <w:t>比例指标同时返回numerator和denominator；分母为零显示—，合法零值显示0</w:t>
      </w:r>
    </w:p>
    <w:p>
      <w:pPr>
        <w:pStyle w:val="ListBullet"/>
      </w:pPr>
      <w:r>
        <w:t>全局、区域、门店和团队汇总均从工单事实重算，禁止平均下级平均时长或比例</w:t>
      </w:r>
    </w:p>
    <w:p>
      <w:pPr>
        <w:pStyle w:val="ListBullet"/>
      </w:pPr>
      <w:r>
        <w:t>当前开放等库存指标使用asOfTime，完成、响应、重开等流量指标使用明确业务事件时间</w:t>
      </w:r>
    </w:p>
    <w:p>
      <w:pPr>
        <w:pStyle w:val="Heading1"/>
      </w:pPr>
      <w:r>
        <w:t>5 图表统计与交互</w:t>
      </w:r>
    </w:p>
    <w:tbl>
      <w:tblPr>
        <w:tblStyle w:val="TableGrid"/>
        <w:tblW w:type="dxa" w:w="11088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1656"/>
        <w:gridCol w:w="2448"/>
        <w:gridCol w:w="2736"/>
        <w:gridCol w:w="3312"/>
      </w:tblGrid>
      <w:tr>
        <w:trPr>
          <w:tblHeader/>
        </w:trPr>
        <w:tc>
          <w:tcPr>
            <w:tcW w:type="dxa" w:w="9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图表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名称</w:t>
            </w:r>
          </w:p>
        </w:tc>
        <w:tc>
          <w:tcPr>
            <w:tcW w:type="dxa" w:w="244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展示内容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数据口径</w:t>
            </w:r>
          </w:p>
        </w:tc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交互与对账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工单处理时效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平均首次响应、平均解决时长、SLA达标率、已超时/即将超时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TA01至TA05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卡片显示当前值、目标、较上期变化和截止时间；点击进入对应明细。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工单状态概览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当前开放、待受理、处理中、待客户补充、SLA风险、今日已完成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TA04至TA10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状态集合互斥；开放子状态合计与TA06对账，SLA风险是交叉风险维度不得相加。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SLA处理规则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高、中、低优先级对应响应/解决目标及当前消耗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SLA策略服务的有效policyVersion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点击优先级查看起止节点、营业时间、暂停原因、预警阈值和版本生效时间。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工单来源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按客户小程序售后、AIWA转入、系统/巡检、维修端等来源统计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周期新建工单按sourceCode计数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来源分组互斥并合计等于相同筛选下新建工单数；点击来源下钻。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工单趋势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按日/周展示新建、解决、关闭、重开和期末开放量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流量按事件时间，开放量按各粒度期末快照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当前未完成周期只与上一周期相同已过时长比较；不得把日均值相加。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CH06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类别与问题分布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按工单类别、问题原因和关联业务展示数量、占比及变化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以周期新建工单为分母，按创建时分类快照聚合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占比返回分子分母；父子分类不可同时重复汇总。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CH07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团队处理表现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受理量、完成量、平均响应、平均解决、SLA达标率、重开率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使用完成时团队责任快照从工单明细重算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跨团队汇总禁止平均团队均值或比例；必须回到工单级分子分母计算。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CH08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门店运营对比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各门店新建、开放、完成、超时与满意度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来源店铺用于新建，当前责任店铺用于开放，完成责任店铺用于完成</w:t>
            </w:r>
          </w:p>
        </w:tc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表头明确每项归属口径；门店点击进入同筛选明细。</w:t>
            </w:r>
          </w:p>
        </w:tc>
      </w:tr>
    </w:tbl>
    <w:p>
      <w:pPr>
        <w:spacing w:after="0"/>
      </w:pPr>
    </w:p>
    <w:p>
      <w:pPr>
        <w:pStyle w:val="ListBullet"/>
      </w:pPr>
      <w:r>
        <w:t>图表缺失日期补0，数据源失败显示断点和最后成功时间，不得以0冒充失败</w:t>
      </w:r>
    </w:p>
    <w:p>
      <w:pPr>
        <w:pStyle w:val="ListBullet"/>
      </w:pPr>
      <w:r>
        <w:t>悬停显示粒度、原始值、分子分母、样本量、目标、watermark和口径版本</w:t>
      </w:r>
    </w:p>
    <w:p>
      <w:pPr>
        <w:pStyle w:val="ListBullet"/>
      </w:pPr>
      <w:r>
        <w:t>点击卡片、柱条、折线点或表格行均携带同一queryContext和snapshotId下钻</w:t>
      </w:r>
    </w:p>
    <w:p>
      <w:pPr>
        <w:pStyle w:val="ListBullet"/>
      </w:pPr>
      <w:r>
        <w:t>图例隐藏只改变显示，不改变总计、下钻和导出</w:t>
      </w:r>
    </w:p>
    <w:p>
      <w:pPr>
        <w:pStyle w:val="ListBullet"/>
      </w:pPr>
      <w:r>
        <w:t>处理时效使用P50/P90辅助识别长尾，平均值不得取代分位数</w:t>
      </w:r>
    </w:p>
    <w:p>
      <w:pPr>
        <w:pStyle w:val="Heading1"/>
      </w:pPr>
      <w:r>
        <w:t>6 功能点详细设计</w:t>
      </w:r>
    </w:p>
    <w:tbl>
      <w:tblPr>
        <w:tblStyle w:val="TableGrid"/>
        <w:tblW w:type="dxa" w:w="1152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656"/>
        <w:gridCol w:w="2736"/>
        <w:gridCol w:w="3384"/>
        <w:gridCol w:w="2736"/>
      </w:tblGrid>
      <w:tr>
        <w:trPr>
          <w:tblHeader/>
        </w:trPr>
        <w:tc>
          <w:tcPr>
            <w:tcW w:type="dxa" w:w="10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功能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功能点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界面操作</w:t>
            </w:r>
          </w:p>
        </w:tc>
        <w:tc>
          <w:tcPr>
            <w:tcW w:type="dxa" w:w="33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验收结果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切换统计范围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选择周期、区域、店铺、类别、来源、优先级、团队或负责人。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生成统一queryContext并行刷新组件；失败组件独立重试。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所有组件回显相同筛选摘要和asOfTime。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查看指标口径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点击指标名或SLA规则旁的口径入口。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返回定义、公式、分子分母、节点、暂停条件、policyVersion和数据源。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页面显示值可按同一快照复算。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查看趋势与分布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切换日/周粒度、图例或维度，悬停查看数据点。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从工单事实按目标粒度重算，不对已聚合比例和均值二次平均。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提示值、图表、导出一致。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下钻工单明细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点击指标卡、来源、优先级、趋势点、团队或门店。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携带filters、metricId、bucket、asOfTime、metricVersion和snapshotId查询工单。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明细总数和对应分子一致，列表展示口径摘要。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导出分析报告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选择当前看板或含脱敏明细报告后提交。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冻结筛选、口径、策略、权限和快照，异步生成限时文件。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幂等、可追踪、文件可复算并记录下载审计。</w:t>
            </w:r>
          </w:p>
        </w:tc>
      </w:tr>
    </w:tbl>
    <w:p>
      <w:pPr>
        <w:spacing w:after="0"/>
      </w:pPr>
    </w:p>
    <w:p>
      <w:pPr>
        <w:pStyle w:val="Heading1"/>
      </w:pPr>
      <w:r>
        <w:t>7 SLA时钟、重开与数据时间规则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主题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SLA开始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默认取createdAt；需人工受理后才启动的类别取acceptedAt。接口返回slaStartNode及policyVersion。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暂停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仅WAITING_CUSTOMER等策略明确允许且具备原因的区间暂停；每段记录startAt、endAt、reason、operator和approvalId。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预警与超时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remainingEffectiveMinutes按营业日历计算；等于0即进入已超时；即将超时与已超时互斥。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解决与关闭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首次进入RESOLVED记录firstResolvedAt；关闭用于流程完结，不得替代解决节点计算解决时长。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重开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保留原ticketId并递增resolutionRound；重开率观察窗和排除原因由策略版本返回。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时间边界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Asia/Hong_Kong；startAt包含、endAt不包含；事件时间用于归期，ingestedAt用于识别迟到。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刷新频率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开放量和风险至少5分钟刷新；历史趋势至少15分钟增量；页面显示组件独立watermark。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口径变更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metricVersion或policyVersion变化时停止直接比较新旧数据并展示版本说明。</w:t>
            </w:r>
          </w:p>
        </w:tc>
      </w:tr>
    </w:tbl>
    <w:p>
      <w:pPr>
        <w:spacing w:after="0"/>
      </w:pPr>
    </w:p>
    <w:p>
      <w:pPr>
        <w:pStyle w:val="Heading1"/>
      </w:pPr>
      <w:r>
        <w:t>8 数据处理链路及跨端规则</w:t>
      </w:r>
    </w:p>
    <w:p>
      <w:pPr>
        <w:pStyle w:val="ListBullet"/>
      </w:pPr>
      <w:r>
        <w:t>客户小程序、AIWA、系统巡检或维修端创建工单并固化sourceCode与来源店铺</w:t>
      </w:r>
    </w:p>
    <w:p>
      <w:pPr>
        <w:pStyle w:val="ListBullet"/>
      </w:pPr>
      <w:r>
        <w:t>工单中心及工单小程序写入接单、响应、签到、处理、等待、解决、关闭和重开事件</w:t>
      </w:r>
    </w:p>
    <w:p>
      <w:pPr>
        <w:pStyle w:val="ListBullet"/>
      </w:pPr>
      <w:r>
        <w:t>SLA服务按策略、营业日历和暂停区间生成节点dueAt及风险快照</w:t>
      </w:r>
    </w:p>
    <w:p>
      <w:pPr>
        <w:pStyle w:val="ListBullet"/>
      </w:pPr>
      <w:r>
        <w:t>统计层按eventId去重并按工单、处理轮次、责任快照和口径版本聚合</w:t>
      </w:r>
    </w:p>
    <w:p>
      <w:pPr>
        <w:pStyle w:val="ListBullet"/>
      </w:pPr>
      <w:r>
        <w:t>查询层执行dataScope和脱敏，返回组件状态、分子分母、watermark及下钻令牌</w:t>
      </w:r>
    </w:p>
    <w:p>
      <w:pPr>
        <w:pStyle w:val="ListBullet"/>
      </w:pPr>
      <w:r>
        <w:t>源事件更正后发布TicketAnalyticsMetric.Invalidated.v1并定向重算受影响组件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跨端规则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工单小程序节点时间作为SLA主数据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客户回复解除等待状态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后台升级策略向负责人和主管发送通知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OS-OPS-PRD-22-X04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工单小程序离线回传必须同时包含occurredAt和clientRecordedAt；统计按服务端确认后的occurredAt归期，并保留迟到标记。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OS-OPS-PRD-22-X05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客户补充信息事件解除等待状态时关闭暂停区间；重复消息不得重复扣减或增加SLA时长。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OS-OPS-PRD-22-X06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分析页只能读取工单事实；处置风险需跳转工单中心并重新校验allowedActions，不在分析页直接修改工单。</w:t>
            </w:r>
          </w:p>
        </w:tc>
      </w:tr>
    </w:tbl>
    <w:p>
      <w:pPr>
        <w:spacing w:after="0"/>
      </w:pPr>
    </w:p>
    <w:p>
      <w:pPr>
        <w:pStyle w:val="Heading1"/>
      </w:pPr>
      <w:r>
        <w:t>9 接口与数据契约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88"/>
        <w:gridCol w:w="4608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契约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路径或事件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指标总览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/ops/v1/ticket-analytics/summary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统一filters、asOfTime、组件状态、分子分母、metricVersion和policyVersion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图表查询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/ops/v1/ticket-analytics/charts/{chartId}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粒度、序列、原始值、样本量、watermark和下钻参数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口径说明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/ops/v1/ticket-analytics/metrics/{metricId}/definition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定义、公式、节点、排除项、暂停规则、版本和数据源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指标下钻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/ops/v1/ticket-analytics/drilldowns/{metricId}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复用原筛选和snapshotId，返回分页工单及可对账总数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创建报告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POST /ops/v1/ticket-analytics/reports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clientRequestId幂等并冻结筛选、版本、快照和权限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报告任务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/ops/v1/ticket-analytics/reports/{reportId}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状态、失败原因、文件哈希和短期签名地址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指标失效事件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TicketAnalyticsMetric.Invalidated.v1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metricIds、dimensions、eventIds、watermark和occurredAt</w:t>
            </w:r>
          </w:p>
        </w:tc>
      </w:tr>
    </w:tbl>
    <w:p>
      <w:pPr>
        <w:spacing w:after="0"/>
      </w:pPr>
    </w:p>
    <w:p>
      <w:pPr>
        <w:pStyle w:val="Heading1"/>
      </w:pPr>
      <w:r>
        <w:t>10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816"/>
        <w:gridCol w:w="4392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场景</w:t>
            </w:r>
          </w:p>
        </w:tc>
        <w:tc>
          <w:tcPr>
            <w:tcW w:type="dxa" w:w="38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页面表现</w:t>
            </w:r>
          </w:p>
        </w:tc>
        <w:tc>
          <w:tcPr>
            <w:tcW w:type="dxa" w:w="439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系统处理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零分母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显示—及原因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返回ZERO_DENOMINATOR，保留numerator=0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无符合数据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显示空态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返回成功和空序列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事件迟到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组件显示重算中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按eventId去重并生成新snapshotId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单组件失败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保留其他组件和最后成功值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返回组件级错误、watermark和traceId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SLA策略缺失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标记无策略，不计达标率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产生配置告警并允许下钻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下钻不一致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提示数据正在重算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禁止跨snapshotId拼接并触发对账告警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无明细权限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隐藏下钻入口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直接请求返回403并记录审计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报告失败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显示任务编号和失败原因</w:t>
            </w:r>
          </w:p>
        </w:tc>
        <w:tc>
          <w:tcPr>
            <w:tcW w:type="dxa" w:w="43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同clientRequestId幂等重试</w:t>
            </w:r>
          </w:p>
        </w:tc>
      </w:tr>
    </w:tbl>
    <w:p>
      <w:pPr>
        <w:spacing w:after="0"/>
      </w:pPr>
    </w:p>
    <w:p>
      <w:pPr>
        <w:pStyle w:val="Heading1"/>
      </w:pPr>
      <w:r>
        <w:t>11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TA01至TA12均返回定义、原始值、分子分母、样本量、时间锚点、metricVersion、policyVersion和watermark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TA04与TA05互斥；开放子状态可与TA06对账，SLA风险作为交叉维度不得相加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首次响应不计机器人自动消息，暂停区间只扣除策略允许且可审计的时段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SLA达标率分子不超过分母，分母为零显示—，变化使用百分点pp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平均响应和解决时长由工单级有效时长计算，并同时提供P50和P90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团队、门店和全局结果从工单事实重算，禁止平均下级均值或比例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趋势流量按事件时间，开放量按期末快照；当前周期按相同已过时长比较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任一卡片或图表下钻总数与指标分子一致，并复用同一snapshotId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来源分组互斥且合计等于同筛选下新建工单数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工单小程序离线事件、重复事件、暂停恢复、跨日和重开均有自动化测试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OS-OPS-PRD-22-AC11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汇总、下钻和导出执行dataScope、脱敏、短期下载和审计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OS-OPS-PRD-22-AC12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不存在工单分析新增或编辑表单，不存在分析域通用新增、编辑或工单动作接口</w:t>
            </w:r>
          </w:p>
        </w:tc>
      </w:tr>
    </w:tbl>
    <w:p>
      <w:pPr>
        <w:spacing w:after="0"/>
      </w:pPr>
    </w:p>
    <w:p>
      <w:pPr>
        <w:pStyle w:val="Heading1"/>
      </w:pPr>
      <w:r>
        <w:t>12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6"/>
      </w:tblGrid>
      <w:tr>
        <w:trPr>
          <w:tblHeader/>
        </w:trPr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工作包</w:t>
            </w:r>
          </w:p>
        </w:tc>
        <w:tc>
          <w:tcPr>
            <w:tcW w:type="dxa" w:w="81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交付内容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运营后台前端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筛选、卡片、趋势、分布、口径弹层、组件状态、下钻和导出任务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分析服务后端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查询、下钻、权限、缓存、幂等导出和失效事件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数据平台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工单事实、责任快照、SLA有效时长、指标版本、重算和质量告警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工单中心后端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稳定输出工单状态、责任、处理轮次和业务事件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SLA服务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策略版本、营业日历、暂停、预警和截止时间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准确上报执行节点、离线时间、附件结果和幂等标识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测试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公式、时间边界、暂停、重开、跨维度汇总、下钻对账、权限和降级</w:t>
            </w:r>
          </w:p>
        </w:tc>
      </w:tr>
    </w:tbl>
    <w:p>
      <w:pPr>
        <w:spacing w:after="0"/>
      </w:pPr>
    </w:p>
    <w:p>
      <w:pPr>
        <w:pStyle w:val="Heading2"/>
      </w:pPr>
      <w:r>
        <w:t>12.1 依赖与交付顺序</w:t>
      </w:r>
    </w:p>
    <w:p>
      <w:pPr>
        <w:pStyle w:val="ListBullet"/>
      </w:pPr>
      <w:r>
        <w:t>先冻结工单状态、SLA节点、暂停原因和事件Schema，再开发统计事实与指标接口</w:t>
      </w:r>
    </w:p>
    <w:p>
      <w:pPr>
        <w:pStyle w:val="ListBullet"/>
      </w:pPr>
      <w:r>
        <w:t>前端可依据接口Schema并行开发骨架屏、错误态和图表交互，演示数据不得进入验收断言</w:t>
      </w:r>
    </w:p>
    <w:p>
      <w:pPr>
        <w:pStyle w:val="ListBullet"/>
      </w:pPr>
      <w:r>
        <w:t>下钻列表依赖工单中心支持snapshotId和口径摘要；导出依赖查询结果可复现</w:t>
      </w:r>
    </w:p>
    <w:p>
      <w:pPr>
        <w:pStyle w:val="ListBullet"/>
      </w:pPr>
      <w:r>
        <w:t>上线前先跑历史回算和跨端事件对账，再开放正式报表下载</w:t>
      </w:r>
    </w:p>
    <w:p>
      <w:pPr>
        <w:pStyle w:val="Heading2"/>
      </w:pPr>
      <w:r>
        <w:t>12.2 完成定义</w:t>
      </w:r>
    </w:p>
    <w:p>
      <w:pPr>
        <w:pStyle w:val="ListBullet"/>
      </w:pPr>
      <w:r>
        <w:t>接口契约、指标SQL或计算代码、数据字典和口径版本完成评审</w:t>
      </w:r>
    </w:p>
    <w:p>
      <w:pPr>
        <w:pStyle w:val="ListBullet"/>
      </w:pPr>
      <w:r>
        <w:t>页面、下钻、导出和工单中心在相同筛选下可双向对账</w:t>
      </w:r>
    </w:p>
    <w:p>
      <w:pPr>
        <w:pStyle w:val="ListBullet"/>
      </w:pPr>
      <w:r>
        <w:t>自动化覆盖正常、零分母、迟到、重复、暂停、重开、越权和组件降级</w:t>
      </w:r>
    </w:p>
    <w:p>
      <w:pPr>
        <w:pStyle w:val="ListBullet"/>
      </w:pPr>
      <w:r>
        <w:t>监控包含延迟、失败率、对账差异、重算积压及SLA策略缺失告警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V2.4  |  2026-09-09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OS-OPS-PRD-22  |  工单分析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