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040"/>
        <w:jc w:val="center"/>
      </w:pPr>
      <w:r>
        <w:t>保单管理 PRD</w:t>
      </w:r>
    </w:p>
    <w:p>
      <w:pPr>
        <w:jc w:val="center"/>
      </w:pPr>
      <w:r>
        <w:rPr>
          <w:rFonts w:ascii="Calibri" w:hAnsi="Calibri" w:eastAsia="Microsoft YaHei"/>
          <w:b w:val="0"/>
          <w:color w:val="667085"/>
          <w:sz w:val="26"/>
        </w:rPr>
        <w:t>运营后台研发详细需求规格</w:t>
      </w:r>
    </w:p>
    <w:p>
      <w:pPr>
        <w:spacing w:before="440"/>
        <w:jc w:val="center"/>
      </w:pPr>
      <w:r>
        <w:rPr>
          <w:rFonts w:ascii="Calibri" w:hAnsi="Calibri" w:eastAsia="Microsoft YaHei"/>
          <w:b/>
          <w:color w:val="2E74B5"/>
          <w:sz w:val="20"/>
        </w:rPr>
        <w:t>OS-OPS-PRD-08  |  V2.0  |  2026-09-08</w:t>
      </w:r>
    </w:p>
    <w:p>
      <w:pPr>
        <w:spacing w:before="1440"/>
        <w:jc w:val="center"/>
      </w:pPr>
      <w:r>
        <w:rPr>
          <w:rFonts w:ascii="Calibri" w:hAnsi="Calibri" w:eastAsia="Microsoft YaHei"/>
          <w:b w:val="0"/>
          <w:color w:val="1F2937"/>
          <w:sz w:val="22"/>
        </w:rPr>
        <w:t>管理投保、承保、续保、理赔和保单文件，并与订单、合同和承保机构保持一致。</w:t>
      </w:r>
    </w:p>
    <w:p>
      <w:r>
        <w:br w:type="page"/>
      </w:r>
    </w:p>
    <w:p>
      <w:pPr>
        <w:pStyle w:val="Heading1"/>
      </w:pPr>
      <w:r>
        <w:t>1 文档目标与范围</w:t>
      </w:r>
    </w:p>
    <w:p>
      <w:r>
        <w:t>管理投保、承保、续保、理赔和保单文件，并与订单、合同和承保机构保持一致。 本文档明确页面字段、操作流程、业务规则、跨端契约、权限和验收条件，研发与测试应以本文档及已冻结的接口契约为实现依据。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文档编号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OS-OPS-PRD-08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产品基线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AiwaBot产品原型 V3.2 与 OneStorage运营后台原型 V1.1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目标读者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产品、前端、后端、测试、数据、运营和实施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V2.0  2026-09-08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优先级口径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P0为一期必须完成；P1须排期但不得阻塞P0主流程</w:t>
            </w:r>
          </w:p>
        </w:tc>
      </w:tr>
    </w:tbl>
    <w:p>
      <w:pPr>
        <w:spacing w:after="0"/>
      </w:pPr>
    </w:p>
    <w:p>
      <w:pPr>
        <w:pStyle w:val="Heading1"/>
      </w:pPr>
      <w:r>
        <w:t>2 用户角色与权限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2880"/>
        <w:gridCol w:w="540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8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数据范围</w:t>
            </w:r>
          </w:p>
        </w:tc>
        <w:tc>
          <w:tcPr>
            <w:tcW w:type="dxa" w:w="540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主要权限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运营管理员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全部或获授权区域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查看、创建、编辑、分派、异常处理和导出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区域或门店负责人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所属区域或门店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查看、复核、分派及授权状态动作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业务执行人员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本人、团队及被分派对象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处理任务并填写业务结果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财务或审批人员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获授权组织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金额确认、审批、冲销和受控导出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系统集成主体</w:t>
            </w:r>
          </w:p>
        </w:tc>
        <w:tc>
          <w:tcPr>
            <w:tcW w:type="dxa" w:w="28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接口声明范围</w:t>
            </w:r>
          </w:p>
        </w:tc>
        <w:tc>
          <w:tcPr>
            <w:tcW w:type="dxa" w:w="540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按白名单调用；不可获得交互式管理员权限</w:t>
            </w:r>
          </w:p>
        </w:tc>
      </w:tr>
    </w:tbl>
    <w:p>
      <w:pPr>
        <w:spacing w:after="0"/>
      </w:pPr>
    </w:p>
    <w:p>
      <w:pPr>
        <w:pStyle w:val="Heading1"/>
      </w:pPr>
      <w:r>
        <w:t>3 页面结构与查询</w:t>
      </w:r>
    </w:p>
    <w:p>
      <w:pPr>
        <w:pStyle w:val="Heading2"/>
      </w:pPr>
      <w:r>
        <w:t>3.2 筛选与列表行为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6912"/>
      </w:tblGrid>
      <w:tr>
        <w:trPr>
          <w:tblHeader/>
        </w:trPr>
        <w:tc>
          <w:tcPr>
            <w:tcW w:type="dxa" w:w="33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筛选项</w:t>
            </w:r>
          </w:p>
        </w:tc>
        <w:tc>
          <w:tcPr>
            <w:tcW w:type="dxa" w:w="69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交互与校验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保单编号、客户、订单或承保对象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承保机构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保单状态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理赔状态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  <w:tr>
        <w:trPr>
          <w:cantSplit/>
        </w:trPr>
        <w:tc>
          <w:tcPr>
            <w:tcW w:type="dxa" w:w="33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到期日期</w:t>
            </w:r>
          </w:p>
        </w:tc>
        <w:tc>
          <w:tcPr>
            <w:tcW w:type="dxa" w:w="69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支持单项或组合查询；点击重置恢复默认；返回列表时保留本次会话条件。</w:t>
            </w:r>
          </w:p>
        </w:tc>
      </w:tr>
    </w:tbl>
    <w:p>
      <w:pPr>
        <w:spacing w:after="0"/>
      </w:pPr>
    </w:p>
    <w:p>
      <w:pPr>
        <w:pStyle w:val="ListBullet"/>
      </w:pPr>
      <w:r>
        <w:t>默认按最近更新时间倒序；用户主动排序后记录字段和方向</w:t>
      </w:r>
    </w:p>
    <w:p>
      <w:pPr>
        <w:pStyle w:val="ListBullet"/>
      </w:pPr>
      <w:r>
        <w:t>分页支持10、20、50、100条；切换每页条数回到第1页</w:t>
      </w:r>
    </w:p>
    <w:p>
      <w:pPr>
        <w:pStyle w:val="ListBullet"/>
      </w:pPr>
      <w:r>
        <w:t>加载中显示骨架或加载态；空结果区分无数据和筛选无结果</w:t>
      </w:r>
    </w:p>
    <w:p>
      <w:pPr>
        <w:pStyle w:val="ListBullet"/>
      </w:pPr>
      <w:r>
        <w:t>查询失败保留筛选条件并提供重试；不得用旧数据冒充最新结果</w:t>
      </w:r>
    </w:p>
    <w:p>
      <w:pPr>
        <w:pStyle w:val="Heading1"/>
      </w:pPr>
      <w:r>
        <w:t>4 列表字段规格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944"/>
        <w:gridCol w:w="2160"/>
        <w:gridCol w:w="4464"/>
      </w:tblGrid>
      <w:tr>
        <w:trPr>
          <w:tblHeader/>
        </w:trPr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字段ID</w:t>
            </w:r>
          </w:p>
        </w:tc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6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446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展示与交互规则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保单编号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服务端主键或业务编号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完整展示并支持复制；唯一且不可使用展示名称代替。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客户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显示客户名称和客户编号，可跳转客户档案。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关联订单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显示订单编号并支持在有权限时跳转。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保障方案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承保机构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OS-OPS-PRD-08-L06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承保对象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业务主域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详情与导出保持一致；空值显示—，不使用模拟值补齐。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OS-OPS-PRD-08-L07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保障金额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财务或报价主域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显示币种和两位小数；不得用格式化字符串参与计算。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OS-OPS-PRD-08-L08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保费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财务或报价主域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显示币种和两位小数；不得用格式化字符串参与计算。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OS-OPS-PRD-08-L09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生效日期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服务端时间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按Asia/Hong_Kong显示；空值显示—，排序使用原始时间。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OS-OPS-PRD-08-L10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到期日期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服务端时间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按Asia/Hong_Kong显示；空值显示—，排序使用原始时间。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OS-OPS-PRD-08-L11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理赔状态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服务端枚举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以标签显示；筛选、导出和详情使用同一枚举文案。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OS-OPS-PRD-08-L12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操作人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记录最近一次有效业务操作人员。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OS-OPS-PRD-08-L13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更新时间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服务器更新时间，格式YYYY-MM-DD HH:mm:ss。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OS-OPS-PRD-08-L14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保单状态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服务端枚举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以标签显示；筛选、导出和详情使用同一枚举文案。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OS-OPS-PRD-08-L15</w:t>
            </w:r>
          </w:p>
        </w:tc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操作</w:t>
            </w:r>
          </w:p>
        </w:tc>
        <w:tc>
          <w:tcPr>
            <w:tcW w:type="dxa" w:w="216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服务端/关联主数据</w:t>
            </w:r>
          </w:p>
        </w:tc>
        <w:tc>
          <w:tcPr>
            <w:tcW w:type="dxa" w:w="446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根据allowedActions显示查看、编辑及状态动作；后端再次鉴权。</w:t>
            </w:r>
          </w:p>
        </w:tc>
      </w:tr>
    </w:tbl>
    <w:p>
      <w:pPr>
        <w:spacing w:after="0"/>
      </w:pPr>
    </w:p>
    <w:p>
      <w:pPr>
        <w:pStyle w:val="Heading1"/>
      </w:pPr>
      <w:r>
        <w:t>5 新增与编辑表单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872"/>
        <w:gridCol w:w="1728"/>
        <w:gridCol w:w="1152"/>
        <w:gridCol w:w="3888"/>
      </w:tblGrid>
      <w:tr>
        <w:trPr>
          <w:tblHeader/>
        </w:trPr>
        <w:tc>
          <w:tcPr>
            <w:tcW w:type="dxa" w:w="158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字段ID</w:t>
            </w:r>
          </w:p>
        </w:tc>
        <w:tc>
          <w:tcPr>
            <w:tcW w:type="dxa" w:w="18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字段</w:t>
            </w:r>
          </w:p>
        </w:tc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控件</w:t>
            </w:r>
          </w:p>
        </w:tc>
        <w:tc>
          <w:tcPr>
            <w:tcW w:type="dxa" w:w="115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必填</w:t>
            </w:r>
          </w:p>
        </w:tc>
        <w:tc>
          <w:tcPr>
            <w:tcW w:type="dxa" w:w="388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校验与保存规则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客户或投保人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OS-OPS-PRD-08-F02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关联订单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OS-OPS-PRD-08-F03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关联合同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OS-OPS-PRD-08-F04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保障方案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OS-OPS-PRD-08-F05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保障金额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金额输入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输入大于等于0，最多两位小数；服务端以最小货币单位重算。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OS-OPS-PRD-08-F06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保费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金额输入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输入大于等于0，最多两位小数；服务端以最小货币单位重算。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OS-OPS-PRD-08-F07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生效日期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日期或日期时间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服务端校验起止顺序、营业日和截止规则。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OS-OPS-PRD-08-F08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到期日期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日期或日期时间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服务端校验起止顺序、营业日和截止规则。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OS-OPS-PRD-08-F09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承保对象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OS-OPS-PRD-08-F10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受益人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文本框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去除首尾空格；保存原始值与标准化值。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OS-OPS-PRD-08-F11</w:t>
            </w:r>
          </w:p>
        </w:tc>
        <w:tc>
          <w:tcPr>
            <w:tcW w:type="dxa" w:w="18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备注</w:t>
            </w:r>
          </w:p>
        </w:tc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多行文本</w:t>
            </w:r>
          </w:p>
        </w:tc>
        <w:tc>
          <w:tcPr>
            <w:tcW w:type="dxa" w:w="115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条件必填</w:t>
            </w:r>
          </w:p>
        </w:tc>
        <w:tc>
          <w:tcPr>
            <w:tcW w:type="dxa" w:w="388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最多500字；拒绝或异常原因不得只输入空白。</w:t>
            </w:r>
          </w:p>
        </w:tc>
      </w:tr>
    </w:tbl>
    <w:p>
      <w:pPr>
        <w:spacing w:after="0"/>
      </w:pPr>
    </w:p>
    <w:p>
      <w:pPr>
        <w:pStyle w:val="ListBullet"/>
      </w:pPr>
      <w:r>
        <w:t>首次打开新增表单使用服务端默认值；编辑表单显示当前version</w:t>
      </w:r>
    </w:p>
    <w:p>
      <w:pPr>
        <w:pStyle w:val="ListBullet"/>
      </w:pPr>
      <w:r>
        <w:t>字段错误显示在对应字段下方，已填写的其他字段不得清空</w:t>
      </w:r>
    </w:p>
    <w:p>
      <w:pPr>
        <w:pStyle w:val="ListBullet"/>
      </w:pPr>
      <w:r>
        <w:t>关闭未保存表单时，如有修改必须二次确认</w:t>
      </w:r>
    </w:p>
    <w:p>
      <w:pPr>
        <w:pStyle w:val="ListBullet"/>
      </w:pPr>
      <w:r>
        <w:t>保存按钮在请求进行中禁用；超时后先查询结果再允许重试</w:t>
      </w:r>
    </w:p>
    <w:p>
      <w:pPr>
        <w:pStyle w:val="Heading1"/>
      </w:pPr>
      <w:r>
        <w:t>6 操作与处理流程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656"/>
        <w:gridCol w:w="4320"/>
        <w:gridCol w:w="2736"/>
      </w:tblGrid>
      <w:tr>
        <w:trPr>
          <w:tblHeader/>
        </w:trPr>
        <w:tc>
          <w:tcPr>
            <w:tcW w:type="dxa" w:w="151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操作ID</w:t>
            </w:r>
          </w:p>
        </w:tc>
        <w:tc>
          <w:tcPr>
            <w:tcW w:type="dxa" w:w="165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操作</w:t>
            </w:r>
          </w:p>
        </w:tc>
        <w:tc>
          <w:tcPr>
            <w:tcW w:type="dxa" w:w="432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前置条件与系统处理</w:t>
            </w:r>
          </w:p>
        </w:tc>
        <w:tc>
          <w:tcPr>
            <w:tcW w:type="dxa" w:w="273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5"/>
              </w:rPr>
              <w:t>结果与失败处理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OS-OPS-PRD-08-A01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新增投保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从订单选择客户和承保对象，按产品规则计算保费。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OS-OPS-PRD-08-A02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提交承保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向第三方提交并保存请求、回执和交易编号。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OS-OPS-PRD-08-A03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查看或下载保单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校验文件哈希和权限，记录下载审计。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OS-OPS-PRD-08-A04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发起续保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复制可复用字段并重新计算新周期价格。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  <w:tr>
        <w:trPr>
          <w:cantSplit/>
        </w:trPr>
        <w:tc>
          <w:tcPr>
            <w:tcW w:type="dxa" w:w="151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OS-OPS-PRD-08-A05</w:t>
            </w:r>
          </w:p>
        </w:tc>
        <w:tc>
          <w:tcPr>
            <w:tcW w:type="dxa" w:w="165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登记理赔</w:t>
            </w:r>
          </w:p>
        </w:tc>
        <w:tc>
          <w:tcPr>
            <w:tcW w:type="dxa" w:w="432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记录事故、材料、金额和第三方状态。</w:t>
            </w:r>
          </w:p>
        </w:tc>
        <w:tc>
          <w:tcPr>
            <w:tcW w:type="dxa" w:w="273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5"/>
              </w:rPr>
              <w:t>成功后刷新详情、allowedActions和时间线；失败保留输入并显示错误码。</w:t>
            </w:r>
          </w:p>
        </w:tc>
      </w:tr>
    </w:tbl>
    <w:p>
      <w:pPr>
        <w:spacing w:after="0"/>
      </w:pPr>
    </w:p>
    <w:p>
      <w:pPr>
        <w:pStyle w:val="Heading2"/>
      </w:pPr>
      <w:r>
        <w:t>6.1 标准写操作时序</w:t>
      </w:r>
    </w:p>
    <w:p>
      <w:pPr>
        <w:pStyle w:val="ListBullet"/>
      </w:pPr>
      <w:r>
        <w:t>用户触发操作后，前端先校验可见字段和附件状态</w:t>
      </w:r>
    </w:p>
    <w:p>
      <w:pPr>
        <w:pStyle w:val="ListBullet"/>
      </w:pPr>
      <w:r>
        <w:t>提交clientRequestId、expectedVersion和业务参数</w:t>
      </w:r>
    </w:p>
    <w:p>
      <w:pPr>
        <w:pStyle w:val="ListBullet"/>
      </w:pPr>
      <w:r>
        <w:t>服务端校验身份、权限、数据范围、对象状态和业务不变量</w:t>
      </w:r>
    </w:p>
    <w:p>
      <w:pPr>
        <w:pStyle w:val="ListBullet"/>
      </w:pPr>
      <w:r>
        <w:t>事务提交后返回业务编号、version、状态、allowedActions和副作用任务编号</w:t>
      </w:r>
    </w:p>
    <w:p>
      <w:pPr>
        <w:pStyle w:val="ListBullet"/>
      </w:pPr>
      <w:r>
        <w:t>前端以返回结果刷新详情；通知、搜索和统计允许最终一致</w:t>
      </w:r>
    </w:p>
    <w:p>
      <w:pPr>
        <w:pStyle w:val="ListBullet"/>
      </w:pPr>
      <w:r>
        <w:t>409版本冲突时展示最新摘要，要求用户刷新后重新操作</w:t>
      </w:r>
    </w:p>
    <w:p>
      <w:pPr>
        <w:pStyle w:val="Heading1"/>
      </w:pPr>
      <w:r>
        <w:t>7 状态机与业务规则</w:t>
      </w:r>
    </w:p>
    <w:tbl>
      <w:tblPr>
        <w:tblStyle w:val="TableGrid"/>
        <w:tblW w:type="dxa" w:w="10728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744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504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状态流转</w:t>
            </w:r>
          </w:p>
        </w:tc>
        <w:tc>
          <w:tcPr>
            <w:tcW w:type="dxa" w:w="37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控制要求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保单管理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待提交→承保中→已承保→保障中→已到期/已退保；理赔：未申请→审核中→已赔付/已拒绝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状态变化必须由明确动作触发并写入操作者、时间、原因和版本。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异步任务</w:t>
            </w:r>
          </w:p>
        </w:tc>
        <w:tc>
          <w:tcPr>
            <w:tcW w:type="dxa" w:w="504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待执行→执行中→成功/失败→重试/人工处理</w:t>
            </w:r>
          </w:p>
        </w:tc>
        <w:tc>
          <w:tcPr>
            <w:tcW w:type="dxa" w:w="37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异步失败不回滚已提交主事务，但必须可见、可重试和可审计。</w:t>
            </w:r>
          </w:p>
        </w:tc>
      </w:tr>
    </w:tbl>
    <w:p>
      <w:pPr>
        <w:spacing w:after="0"/>
      </w:pP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业务规则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承保对象必须属于关联订单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保费以承保机构确认值为准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第三方回调幂等且签名必验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退保或订单取消按保险规则计算退款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历史保单和条款版本不可覆盖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所有写请求携带clientRequestId和expectedVersion，重复请求返回首次结果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服务端返回allowedActions，前端仅据此展示按钮，后端仍逐动作鉴权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列表、详情、关联选择器、统计和导出使用同一数据范围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OS-OPS-PRD-08-R09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创建、编辑、状态流转、导出、下载和审批均记录操作审计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OS-OPS-PRD-08-R10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第三方调用失败不得伪装主业务成功，进入可重试或人工处理状态</w:t>
            </w:r>
          </w:p>
        </w:tc>
      </w:tr>
    </w:tbl>
    <w:p>
      <w:pPr>
        <w:spacing w:after="0"/>
      </w:pPr>
    </w:p>
    <w:p>
      <w:pPr>
        <w:pStyle w:val="Heading1"/>
      </w:pPr>
      <w:r>
        <w:t>8 业务处理链路</w:t>
      </w:r>
    </w:p>
    <w:p>
      <w:pPr>
        <w:pStyle w:val="ListBullet"/>
      </w:pPr>
      <w:r>
        <w:t>该模块以配置、查询或治理操作为主，不单独建立客户履约BPMN</w:t>
      </w:r>
    </w:p>
    <w:p>
      <w:pPr>
        <w:pStyle w:val="ListBullet"/>
      </w:pPr>
      <w:r>
        <w:t>如操作触发下游状态变化，使用领域事件并在目标模块流程中处理</w:t>
      </w:r>
    </w:p>
    <w:p>
      <w:pPr>
        <w:pStyle w:val="ListBullet"/>
      </w:pPr>
      <w:r>
        <w:t>批量、导出和异步任务必须提供任务状态、结果下载和失败明细</w:t>
      </w:r>
    </w:p>
    <w:p>
      <w:pPr>
        <w:pStyle w:val="Heading1"/>
      </w:pPr>
      <w:r>
        <w:t>9 跨端交互规则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规则ID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交互规则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OS-OPS-PRD-08-X01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客户小程序展示本人保单摘要、文件和理赔进度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OS-OPS-PRD-08-X02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承保或理赔状态变化发送通知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OS-OPS-PRD-08-X03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订单退租或取消触发退保资格检查但不得自动退保</w:t>
            </w:r>
          </w:p>
        </w:tc>
      </w:tr>
    </w:tbl>
    <w:p>
      <w:pPr>
        <w:spacing w:after="0"/>
      </w:pPr>
    </w:p>
    <w:p>
      <w:pPr>
        <w:pStyle w:val="ListBullet"/>
      </w:pPr>
      <w:r>
        <w:t>客户小程序仅访问本人客户编号关联数据；内部小程序仅访问本人或团队任务</w:t>
      </w:r>
    </w:p>
    <w:p>
      <w:pPr>
        <w:pStyle w:val="ListBullet"/>
      </w:pPr>
      <w:r>
        <w:t>深链只携带业务编号，不携带敏感原文；打开后重新校验登录、权限和最新状态</w:t>
      </w:r>
    </w:p>
    <w:p>
      <w:pPr>
        <w:pStyle w:val="ListBullet"/>
      </w:pPr>
      <w:r>
        <w:t>客户端缓存仅用于展示，金额、库存、状态和allowedActions必须回源</w:t>
      </w:r>
    </w:p>
    <w:p>
      <w:pPr>
        <w:pStyle w:val="ListBullet"/>
      </w:pPr>
      <w:r>
        <w:t>离线或网络重试沿用同一clientRequestId，禁止产生重复业务对象</w:t>
      </w:r>
    </w:p>
    <w:p>
      <w:pPr>
        <w:pStyle w:val="Heading1"/>
      </w:pPr>
      <w:r>
        <w:t>10 接口与事件契约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824"/>
      </w:tblGrid>
      <w:tr>
        <w:trPr>
          <w:tblHeader/>
        </w:trPr>
        <w:tc>
          <w:tcPr>
            <w:tcW w:type="dxa" w:w="172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契约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建议路径或事件</w:t>
            </w:r>
          </w:p>
        </w:tc>
        <w:tc>
          <w:tcPr>
            <w:tcW w:type="dxa" w:w="482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列表查询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/ops/v1/policies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分页、排序、筛选、dataScope、字段脱敏和总数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详情查询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GET /ops/v1/policies/{id}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返回version、关联对象、时间线和allowedActions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新增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/ops/v1/policies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使用clientRequestId幂等，返回业务编号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编辑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PATCH /ops/v1/policies/{id}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使用expectedVersion，冲突返回409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POST /ops/v1/policies/{id}/actions/{action}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动作级权限、状态前置条件和原因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领域事件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保单管理.Changed.v1</w:t>
            </w:r>
          </w:p>
        </w:tc>
        <w:tc>
          <w:tcPr>
            <w:tcW w:type="dxa" w:w="482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包含eventId、aggregateId、version、occurredAt和最小业务数据</w:t>
            </w:r>
          </w:p>
        </w:tc>
      </w:tr>
    </w:tbl>
    <w:p>
      <w:pPr>
        <w:spacing w:after="0"/>
      </w:pPr>
    </w:p>
    <w:p>
      <w:pPr>
        <w:pStyle w:val="Heading1"/>
      </w:pPr>
      <w:r>
        <w:t>11 异常与边界处理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6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系统处理</w:t>
            </w:r>
          </w:p>
        </w:tc>
        <w:tc>
          <w:tcPr>
            <w:tcW w:type="dxa" w:w="3672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6"/>
              </w:rPr>
              <w:t>用户反馈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字段校验失败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返回400及字段级错误，不写业务数据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定位到字段并保留其他输入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无权限或超出数据范围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返回403并记录拒绝审计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提示无权执行，不泄露对象内容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对象不存在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返回404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显示记录不存在或已移除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版本冲突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返回409和最新version摘要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要求刷新，不执行最后写入覆盖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重复请求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按幂等键返回首次结果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显示原业务编号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第三方超时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状态进入处理中或失败待重试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显示任务编号和可重试条件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附件失败</w:t>
            </w:r>
          </w:p>
        </w:tc>
        <w:tc>
          <w:tcPr>
            <w:tcW w:type="dxa" w:w="46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不提交依赖附件的业务动作</w:t>
            </w:r>
          </w:p>
        </w:tc>
        <w:tc>
          <w:tcPr>
            <w:tcW w:type="dxa" w:w="367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显示失败文件和重新上传入口</w:t>
            </w:r>
          </w:p>
        </w:tc>
      </w:tr>
    </w:tbl>
    <w:p>
      <w:pPr>
        <w:spacing w:after="0"/>
      </w:pPr>
    </w:p>
    <w:p>
      <w:pPr>
        <w:pStyle w:val="Heading1"/>
      </w:pPr>
      <w:r>
        <w:t>12 验收标准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/>
        </w:trPr>
        <w:tc>
          <w:tcPr>
            <w:tcW w:type="dxa" w:w="1944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验收ID</w:t>
            </w:r>
          </w:p>
        </w:tc>
        <w:tc>
          <w:tcPr>
            <w:tcW w:type="dxa" w:w="8280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验收条件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OS-OPS-PRD-08-AC01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列表逐列与本文档字段一致，筛选、分页、排序和导出使用同一查询条件。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OS-OPS-PRD-08-AC02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新增和编辑表单覆盖本文档全部字段，必填、格式、关联对象和跨字段校验可复现。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OS-OPS-PRD-08-AC03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每个操作仅在allowedActions允许时显示，直接调用接口仍执行权限与状态校验。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OS-OPS-PRD-08-AC04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状态流转、时间线、关联编号和领域事件一致，重复提交不产生重复副作用。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OS-OPS-PRD-08-AC05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客户小程序和工单小程序显示的编号、状态、金额和节点时间与后台详情一致。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OS-OPS-PRD-08-AC06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400、403、404、409、第三方失败、附件失败和空数据均有明确页面反馈。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OS-OPS-PRD-08-AC07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敏感字段在列表、详情、导出和日志中按权限脱敏，查看原文和下载均有审计。</w:t>
            </w:r>
          </w:p>
        </w:tc>
      </w:tr>
      <w:tr>
        <w:trPr>
          <w:cantSplit/>
        </w:trPr>
        <w:tc>
          <w:tcPr>
            <w:tcW w:type="dxa" w:w="1944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OS-OPS-PRD-08-AC08</w:t>
            </w:r>
          </w:p>
        </w:tc>
        <w:tc>
          <w:tcPr>
            <w:tcW w:type="dxa" w:w="8280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P0接口具备单元、状态机、权限、幂等和并发自动化测试。</w:t>
            </w:r>
          </w:p>
        </w:tc>
      </w:tr>
    </w:tbl>
    <w:p>
      <w:pPr>
        <w:spacing w:after="0"/>
      </w:pPr>
    </w:p>
    <w:p>
      <w:pPr>
        <w:pStyle w:val="Heading1"/>
      </w:pPr>
      <w:r>
        <w:t>13 研发分工</w:t>
      </w:r>
    </w:p>
    <w:tbl>
      <w:tblPr>
        <w:tblStyle w:val="TableGrid"/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8208"/>
      </w:tblGrid>
      <w:tr>
        <w:trPr>
          <w:tblHeader/>
        </w:trPr>
        <w:tc>
          <w:tcPr>
            <w:tcW w:type="dxa" w:w="2016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8208"/>
            <w:shd w:fill="17365D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8"/>
              </w:rPr>
              <w:t>交付内容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运营后台前端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列表、筛选、详情、表单、动作、权限态、异常态和埋点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领域后端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数据模型、状态机、校验、权限、幂等、接口和领域事件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跨端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客户小程序或工单小程序入口、展示、申请、通知和深链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4F7FB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字段、状态、权限、并发、异常、跨端一致性和回归用例</w:t>
            </w:r>
          </w:p>
        </w:tc>
      </w:tr>
      <w:tr>
        <w:trPr>
          <w:cantSplit/>
        </w:trPr>
        <w:tc>
          <w:tcPr>
            <w:tcW w:type="dxa" w:w="2016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数据与实施</w:t>
            </w:r>
          </w:p>
        </w:tc>
        <w:tc>
          <w:tcPr>
            <w:tcW w:type="dxa" w:w="820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字典、主数据、迁移映射、指标口径和运营配置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979" w:bottom="97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5"/>
      </w:rPr>
      <w:t xml:space="preserve">V2.0  |  2026-09-08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17365D"/>
        <w:sz w:val="15"/>
      </w:rPr>
      <w:t>ONE STORAGE  |  OS-OPS-PRD-08  |  保单管理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