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客户档案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OS-OPS-PRD-10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建立统一客户主档，集中呈现身份、联系方式、授权、标签和线索至付款的业务关系。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建立统一客户主档，集中呈现身份、联系方式、授权、标签和线索至付款的业务关系。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OS-OPS-PRD-10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姓名、电话、邮箱或客户编号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客户类型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标签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团队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中文名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英文名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香港身份证名称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邮箱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联系方式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来源渠道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所属店铺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所属团队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客户标签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最近联系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显示姓名，离职或停用账号保留历史名称。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OS-OPS-PRD-10-L14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OS-OPS-PRD-10-L15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首次保存时由服务端生成；后续只读，并作为跨端客户主键。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中文名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英文名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香港身份证名称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手机号码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区号加电话号码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保存标准化E.164值；香港号码按8位校验。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邮箱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邮箱输入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格式校验并转小写保存检索值。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来源渠道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客户标签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所属店铺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所属团队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地区偏好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存放物品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租期偏好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预算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营销授权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OS-OPS-PRD-10-F18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新增客户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先按手机号、邮箱和证件摘要查重，生成客户编号。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编辑资料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敏感字段变更记录前后值摘要并触发必要复核。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管理标签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标签来源区分人工、规则和AI，不允许同名重复。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新增备注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记录可见范围和附件，禁止覆盖历史备注。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OS-OPS-PRD-10-A05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合并客户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预览冲突字段和关联对象，审批后执行可回溯合并。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客户档案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潜在客户→活跃客户→在租客户→历史客户；正常/冻结/待合并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手机号标准化后唯一性检查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证件号加密存储且列表不展示原文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订单、合同、保单保存客户快照但仍关联主档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营销触达必须校验授权渠道和撤回时间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已产生交易的客户不得物理删除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客户小程序只能读取和修改允许自助维护的本人字段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AIWA会话、线索、预约、订单和工单按客户编号归档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内部工单小程序仅显示履约所需的最小客户信息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/ops/v1/customers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/ops/v1/customers/{id}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/ops/v1/customers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/ops/v1/customers/{id}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/ops/v1/customers/{id}/actions/{action}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客户档案.Changed.v1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OS-OPS-PRD-10-AC08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OS-OPS-PRD-10  |  客户档案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