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客户分析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按统一口径分析客户生命周期、价值、活跃度、续租和流失风险，并生成可执行客群。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按统一口径分析客户生命周期、价值、活跃度、续租和流失风险，并生成可执行客群。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客户生命周期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价值分层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风险等级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指标或客群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客户占比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本期值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对比值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变化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统计口径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下钻入口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客群名称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筛选条件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排除条件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统计截止时间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用途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有效期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导出脱敏级别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切换分析维度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按生命周期、价值、渠道、业务和区域重算。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查看口径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展示指标定义、分子分母、排除项和版本。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下钻客户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携带规则条件跳转客户列表且数量一致。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生成客群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固化规则和统计截止时间，异步生成客户清单。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导出或创建任务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执行数据范围和营销授权校验。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计算中→可用/部分可用/失败；客群：草稿→已生成→已使用→已过期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同一客户在同一指标周期去重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当前在租、活跃、续租率和流失风险口径独立版本化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系统通知不计入有效互动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统计迟到数据按重算规则处理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导出前再次校验客户授权和敏感字段权限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小程序行为事件只传业务必要字段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AIWA互动计入活跃度但原文不进入分析宽表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生成的回访任务可发送至负责人工作台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/ops/v1/customer-analytics/{id}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/ops/v1/customer-analytics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/ops/v1/customer-analytics/{id}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/ops/v1/customer-analytics/{id}/actions/{action}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客户分析.Changed.v1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OS-OPS-PRD-11  |  客户分析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