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迷你箱物流履约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OS-OPS-PRD-19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管理送箱、取箱、入仓、召回和返还的多运单履约及异常处理。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管理送箱、取箱、入仓、召回和返还的多运单履约及异常处理。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OS-OPS-PRD-19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履约、订单、箱号或运单号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履约类型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物流商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节点状态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异常状态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预约日期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履约编号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服务端主键或业务编号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完整展示并支持复制；唯一且不可使用展示名称代替。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订单编号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服务端主键或业务编号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完整展示并支持复制；唯一且不可使用展示名称代替。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预约类型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显示客户名称和客户编号，可跳转客户档案。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箱号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运单号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物流商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提送地址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OS-OPS-PRD-19-L09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预约时段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OS-OPS-PRD-19-L10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当前节点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OS-OPS-PRD-19-L11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异常标记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OS-OPS-PRD-19-L12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负责人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显示姓名，离职或停用账号保留历史名称。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OS-OPS-PRD-19-L13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更新时间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服务器更新时间，格式YYYY-MM-DD HH:mm:ss。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OS-OPS-PRD-19-L14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订单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履约类型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预约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箱号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物流商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运单号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提货地址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送达地址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预约时段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司机或团队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车辆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费用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金额输入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输入大于等于0，最多两位小数；服务端以最小货币单位重算。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OS-OPS-PRD-19-F13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附件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文件上传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使用短期签名上传，校验类型、大小、哈希和病毒扫描结果。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OS-OPS-PRD-19-F14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备注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创建履约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选择有效订单和操作类型，生成履约编号。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添加物流信息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绑定物流商、运单、车辆和预约。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出库或交接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扫码确认箱号并上传签收证据。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刷新物流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按运单查询第三方节点并幂等写入时间线。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OS-OPS-PRD-19-A05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异常处理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记录破损、丢失、拒收或地址问题并生成工单。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迷你箱物流履约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待预约→待配对→待出库→配送中→已送达→待取回→取回中→已入仓；召回中→已返还；异常待处理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一张订单可有多个履约单和运单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节点只能按状态机推进，补录历史节点需授权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部分箱履约不改变未选箱体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客户地址使用预约确认快照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第三方节点与人工交接冲突时进入复核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BPMN流程与节点责任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3672"/>
      </w:tblGrid>
      <w:tr>
        <w:trPr>
          <w:tblHeader/>
        </w:trPr>
        <w:tc>
          <w:tcPr>
            <w:tcW w:type="dxa" w:w="223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泳道</w:t>
            </w:r>
          </w:p>
        </w:tc>
        <w:tc>
          <w:tcPr>
            <w:tcW w:type="dxa" w:w="47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节点责任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客户小程序或AIWA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提交申请、确认方案、签署或补充资料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clientRequestId、客户确认和附件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运营后台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校验、受理、分派、审批、状态推进和异常处理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业务编号、状态、allowedActions和审计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工单小程序或执行团队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接单、签到、扫码、处理和上报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节点时间、位置、照片和处理结果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领域服务与第三方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事务、库存、付款、签约、物流和通知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回调、事件、重试任务和最终结果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00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1835e32-0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图 8-1  迷你箱物流履约业务流程</w:t>
      </w:r>
    </w:p>
    <w:p>
      <w:r>
        <w:t>可编辑BPMN源文件：requirements/bpmn/迷你箱履约.bpmn。流程分支、异常补偿和人工复核必须与本文档状态机保持一致。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客户小程序创建送箱、取箱或召回预约并查看节点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工单小程序扫码、签到、拍照和签收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后台异常状态向客服和客户发送分级通知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/ops/v1/box-fulfillments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/ops/v1/box-fulfillments/{id}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/ops/v1/box-fulfillments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/ops/v1/box-fulfillments/{id}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/ops/v1/box-fulfillments/{id}/actions/{action}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迷你箱物流履约.Changed.v1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OS-OPS-PRD-19-AC08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OS-OPS-PRD-19  |  迷你箱物流履约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