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合同签约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OS-OPS-PRD-06  |  V2.3  |  2026-09-09</w:t>
      </w:r>
    </w:p>
    <w:p>
      <w:pPr>
        <w:spacing w:before="1440"/>
        <w:jc w:val="center"/>
      </w:pPr>
      <w:r>
        <w:rPr>
          <w:rFonts w:ascii="Calibri" w:hAnsi="Calibri" w:eastAsia="Microsoft YaHei"/>
          <w:b w:val="0"/>
          <w:color w:val="1F2937"/>
          <w:sz w:val="22"/>
        </w:rPr>
        <w:t>生成、发送、签署和归档合同，保证合同版本、签署证据及订单生效条件可追溯。</w:t>
      </w:r>
    </w:p>
    <w:p>
      <w:r>
        <w:br w:type="page"/>
      </w:r>
    </w:p>
    <w:p>
      <w:pPr>
        <w:pStyle w:val="Heading1"/>
      </w:pPr>
      <w:r>
        <w:t>1 文档目标与范围</w:t>
      </w:r>
    </w:p>
    <w:p>
      <w:r>
        <w:t>生成、发送、签署和归档合同，保证合同版本、签署证据及订单生效条件可追溯。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OS-OPS-PRD-06</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V2.3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06-contracts.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合同签约列表与处理入口</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OS-OPS-PRD-06-FP02 预览合同；OS-OPS-PRD-06-FP03 发送与催签；OS-OPS-PRD-06-FP04 确认签署；OS-OPS-PRD-06-FP05 作废</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合同签约列表与处理入口由查询条件、结果列表、状态标识、行级操作和分页区组成。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查询条件可组合、重置并在返回时保留；列表与导出共用同一数据范围；按钮依据权限、状态和allowedActions显示。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jc w:val="center"/>
      </w:pPr>
      <w:r>
        <w:drawing>
          <wp:inline xmlns:a="http://schemas.openxmlformats.org/drawingml/2006/main" xmlns:pic="http://schemas.openxmlformats.org/drawingml/2006/picture">
            <wp:extent cx="6172200" cy="3857625"/>
            <wp:docPr id="2" name="Picture 2"/>
            <wp:cNvGraphicFramePr>
              <a:graphicFrameLocks noChangeAspect="1"/>
            </wp:cNvGraphicFramePr>
            <a:graphic>
              <a:graphicData uri="http://schemas.openxmlformats.org/drawingml/2006/picture">
                <pic:pic>
                  <pic:nvPicPr>
                    <pic:cNvPr id="0" name="ops-06-contracts-create.png"/>
                    <pic:cNvPicPr/>
                  </pic:nvPicPr>
                  <pic:blipFill>
                    <a:blip r:embed="rId12"/>
                    <a:stretch>
                      <a:fillRect/>
                    </a:stretch>
                  </pic:blipFill>
                  <pic:spPr>
                    <a:xfrm>
                      <a:off x="0" y="0"/>
                      <a:ext cx="6172200" cy="3857625"/>
                    </a:xfrm>
                    <a:prstGeom prst="rect"/>
                  </pic:spPr>
                </pic:pic>
              </a:graphicData>
            </a:graphic>
          </wp:inline>
        </w:drawing>
      </w:r>
    </w:p>
    <w:p>
      <w:pPr>
        <w:pStyle w:val="Caption"/>
        <w:jc w:val="center"/>
      </w:pPr>
      <w:r>
        <w:t>图 2-2  发起合同签约表单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OS-OPS-PRD-06-FP01 发起签约</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新增界面按业务分组展示表单字段、关联对象选择、保存与取消操作。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必填和格式错误在字段下方提示；关联对象实时校验；保存期间按钮防重复，关闭已修改表单需二次确认。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合同编号、客户或订单</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合同类型</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签署状态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合同状态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续约状态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生效或到期日期</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OS-OPS-PRD-06-L01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合同编号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OS-OPS-PRD-06-L02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合同类型</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OS-OPS-PRD-06-L03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显示客户名称和客户编号，可跳转客户档案。</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OS-OPS-PRD-06-L04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关联订单</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显示订单编号并支持在有权限时跳转。</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OS-OPS-PRD-06-L05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OS-OPS-PRD-06-L06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仓位或箱数</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OS-OPS-PRD-06-L07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生效日期</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按Asia/Hong_Kong显示；空值显示—，排序使用原始时间。</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OS-OPS-PRD-06-L08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到期日期</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按Asia/Hong_Kong显示；空值显示—，排序使用原始时间。</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OS-OPS-PRD-06-L09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租期</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OS-OPS-PRD-06-L10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合同金额</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财务或报价主域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显示币种和两位小数；不得用格式化字符串参与计算。</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OS-OPS-PRD-06-L11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签署状态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OS-OPS-PRD-06-L12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续约状态</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OS-OPS-PRD-06-L13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操作人</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记录最近一次有效业务操作人员。</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OS-OPS-PRD-06-L14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更新时间</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服务器更新时间，格式YYYY-MM-DD HH:mm:ss。</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OS-OPS-PRD-06-L15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合同状态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OS-OPS-PRD-06-L16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OS-OPS-PRD-06-F01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合同类型</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OS-OPS-PRD-06-F02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关联销售订单</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OS-OPS-PRD-06-F03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客户或合同名称</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OS-OPS-PRD-06-F04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合同金额</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OS-OPS-PRD-06-F05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生效日期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OS-OPS-PRD-06-F06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租期</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仅允许业务配置范围内的整数；服务端再次校验。</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OS-OPS-PRD-06-F07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到期日期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OS-OPS-PRD-06-F08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合同模板</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OS-OPS-PRD-06-F09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签署方式</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OS-OPS-PRD-06-F10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手动签名照片</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文件上传</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使用短期签名上传，校验类型、大小、哈希和病毒扫描结果。</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OS-OPS-PRD-06-F11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备注</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OS-OPS-PRD-06-FP01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发起签约</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选择有效订单和已发布模板，生成不可变合同版本及签署链接。</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OS-OPS-PRD-06-FP02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预览合同</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显示动态字段替换结果、条款版本和附件清单。</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OS-OPS-PRD-06-FP03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发送与催签</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记录渠道、接收方、发送时间和送达状态，限制催签频率。</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OS-OPS-PRD-06-FP04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确认签署</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验证签名、时间戳、文件哈希和第三方回调。</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OS-OPS-PRD-06-FP05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作废</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仅审批通过后执行，保留原文件并同步订单。</w:t>
            </w:r>
          </w:p>
        </w:tc>
      </w:tr>
    </w:tbl>
    <w:p>
      <w:pPr>
        <w:spacing w:after="0"/>
      </w:pPr>
    </w:p>
    <w:p>
      <w:pPr>
        <w:pStyle w:val="Heading2"/>
      </w:pPr>
      <w:r>
        <w:t>6.1 发起签约</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OS-OPS-PRD-06-FP01。功能目的为选择有效订单和已发布模板，生成不可变合同版本及签署链接。</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合同类型、关联销售订单、客户或合同名称、合同金额、生效日期、租期、到期日期、合同模板、签署方式、手动签名照片、备注、合同编号；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服务端使用clientRequestId幂等校验，在事务内生成业务编号、主对象、初始状态和审计记录；事务提交后发布领域事件。选择有效订单和已发布模板，生成不可变合同版本及签署链接。</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合同金额与订单已审批金额必须一致；模板发布后生成的合同不受后续模板修改影响。所有校验必须由服务端再次执行，前端校验只用于即时反馈。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页面提示“发起签约成功”，刷新对象状态、version、allowedActions、关联对象和时间线；如产生异步任务，同时显示任务编号和进度入口。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客户小程序打开签署链接前重新校验本人和合同状态。跨端消息只携带业务编号，接收端打开后重新鉴权并查询最新状态。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在允许状态下完成发起签约时仅产生一次预期数据变化和一次审计记录；越权、错误状态、重复提交及版本冲突均不得产生重复对象或越级状态。</w:t>
      </w:r>
    </w:p>
    <w:p>
      <w:pPr>
        <w:pStyle w:val="Heading2"/>
      </w:pPr>
      <w:r>
        <w:t>6.2 预览合同</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OS-OPS-PRD-06-FP02。功能目的为显示动态字段替换结果、条款版本和附件清单。</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拥有对应dataScope的查询用户；从指标卡、图表、列表行标题或详情入口进入。入口显示前先校验菜单权限、动作权限和数据范围。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用户登录有效，拥有菜单和对象查看权限，查询条件属于dataScope；打开详情时对象存在。敏感字段、金额和状态必须回源。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从卡片、列表或关联编号进入，加载关联销售订单、客户或合同名称、合同金额、生效日期、到期日期、备注、合同编号、客户、关联订单、签署状态及时间线；切换页签或筛选不改变主对象，返回时保留来源页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服务端校验身份、dataScope和字段脱敏后查询 /ops/v1/contracts；返回version、关联对象、时间线和allowedActions。显示动态字段替换结果、条款版本和附件清单。</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合同金额与订单已审批金额必须一致；模板发布后生成的合同不受后续模板修改影响；合同生效必须满足签署与首笔款项条件。所有校验必须由服务端再次执行，前端校验只用于即时反馈。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界面完成预览合同并显示最新数据、截止时间、关联对象和允许操作；查询本身不改变业务状态。涉及敏感原文查看时单独记录访问审计。</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签署成功后同步订单和客户资产。跨端消息只携带业务编号，接收端打开后重新鉴权并查询最新状态。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预览合同只返回dataScope内且按权限脱敏的数据；刷新前后无业务写入，筛选、详情和导出对同一对象的字段值一致。</w:t>
      </w:r>
    </w:p>
    <w:p>
      <w:pPr>
        <w:pStyle w:val="Heading2"/>
      </w:pPr>
      <w:r>
        <w:t>6.3 发送与催签</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OS-OPS-PRD-06-FP03。功能目的为记录渠道、接收方、发送时间和送达状态，限制催签频率。</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在详情页执行发送与催签，填写或核对关联销售订单、客户或合同名称、合同金额、生效日期、到期日期、备注、合同编号、客户、关联订单、签署状态；界面随步骤显示当前节点、下一步和可撤回条件。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/ops/v1/contracts/{id}/actions/{action}，校验权限、当前状态、expectedVersion和业务不变量，在事务中写入状态及时间线。记录渠道、接收方、发送时间和送达状态，限制催签频率。</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合同金额与订单已审批金额必须一致；模板发布后生成的合同不受后续模板修改影响。所有校验必须由服务端再次执行，前端校验只用于即时反馈。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页面提示“发送与催签成功”，刷新对象状态、version、allowedActions、关联对象和时间线；如产生异步任务，同时显示任务编号和进度入口。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续租合同与原合同建立版本和业务关系。跨端消息只携带业务编号，接收端打开后重新鉴权并查询最新状态。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在允许状态下完成发送与催签时仅产生一次预期数据变化和一次审计记录；越权、错误状态、重复提交及版本冲突均不得产生重复对象或越级状态。</w:t>
      </w:r>
    </w:p>
    <w:p>
      <w:pPr>
        <w:pStyle w:val="Heading2"/>
      </w:pPr>
      <w:r>
        <w:t>6.4 确认签署</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OS-OPS-PRD-06-FP04。功能目的为验证签名、时间戳、文件哈希和第三方回调。</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具备审批、财务或复核权限的人员；从待办中心、列表行操作或详情页审批区进入。入口显示前先校验菜单权限、动作权限和数据范围。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详情页展示申请信息、金额/附件、历史意见及关联销售订单、客户或合同名称、合同金额、生效日期、到期日期、备注、合同编号、客户、关联订单、签署状态；选择通过或拒绝，拒绝原因必填，提交前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/ops/v1/contracts/{id}/actions/{action}，校验权限、当前状态、expectedVersion和业务不变量，在事务中写入状态及时间线。验证签名、时间戳、文件哈希和第三方回调。</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签署回调按第三方交易号幂等；已签署文件不可覆盖；合同生效必须满足签署与首笔款项条件。所有校验必须由服务端再次执行，前端校验只用于即时反馈。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页面提示“确认签署成功”，刷新对象状态、version、allowedActions、关联对象和时间线；如产生异步任务，同时显示任务编号和进度入口。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客户小程序打开签署链接前重新校验本人和合同状态。跨端消息只携带业务编号，接收端打开后重新鉴权并查询最新状态。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在允许状态下完成确认签署时仅产生一次预期数据变化和一次审计记录；越权、错误状态、重复提交及版本冲突均不得产生重复对象或越级状态。</w:t>
      </w:r>
    </w:p>
    <w:p>
      <w:pPr>
        <w:pStyle w:val="Heading2"/>
      </w:pPr>
      <w:r>
        <w:t>6.5 作废</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OS-OPS-PRD-06-FP05。功能目的为仅审批通过后执行，保留原文件并同步订单。</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在详情页执行作废，填写或核对关联销售订单、客户或合同名称、合同金额、生效日期、到期日期、备注、合同编号、客户、关联订单、签署状态；界面随步骤显示当前节点、下一步和可撤回条件。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/ops/v1/contracts/{id}/actions/{action}，校验权限、当前状态、expectedVersion和业务不变量，在事务中写入状态及时间线。仅审批通过后执行，保留原文件并同步订单。</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合同金额与订单已审批金额必须一致；模板发布后生成的合同不受后续模板修改影响。所有校验必须由服务端再次执行，前端校验只用于即时反馈。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页面提示“作废成功”，刷新对象状态、version、allowedActions、关联对象和时间线；如产生异步任务，同时显示任务编号和进度入口。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签署成功后同步订单和客户资产。跨端消息只携带业务编号，接收端打开后重新鉴权并查询最新状态。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在允许状态下完成作废时仅产生一次预期数据变化和一次审计记录；越权、错误状态、重复提交及版本冲突均不得产生重复对象或越级状态。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合同签约</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草稿→待发送→待签署→已签署→已生效→已到期；待签署可撤回/拒签；已签署可按审批作废</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OS-OPS-PRD-06-R01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合同金额与订单已审批金额必须一致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OS-OPS-PRD-06-R02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模板发布后生成的合同不受后续模板修改影响</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OS-OPS-PRD-06-R03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签署回调按第三方交易号幂等</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OS-OPS-PRD-06-R04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已签署文件不可覆盖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OS-OPS-PRD-06-R05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合同生效必须满足签署与首笔款项条件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OS-OPS-PRD-06-R06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OS-OPS-PRD-06-R07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OS-OPS-PRD-06-R08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OS-OPS-PRD-06-R09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OS-OPS-PRD-06-R10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BPMN流程与节点责任</w:t>
      </w:r>
    </w:p>
    <w:tbl>
      <w:tblPr>
        <w:tblStyle w:val="TableGrid"/>
        <w:tblW w:type="dxa" w:w="10656"/>
        <w:jc w:val="center"/>
        <w:tblLayout w:type="fixed"/>
        <w:tblLook w:firstColumn="1" w:firstRow="1" w:lastColumn="0" w:lastRow="0" w:noHBand="0" w:noVBand="1" w:val="04A0"/>
      </w:tblPr>
      <w:tblGrid>
        <w:gridCol w:w="2232"/>
        <w:gridCol w:w="4752"/>
        <w:gridCol w:w="3672"/>
      </w:tblGrid>
      <w:tr>
        <w:trPr>
          <w:tblHeader/>
        </w:trPr>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泳道</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6"/>
              </w:rPr>
              <w:t>节点责任</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输出</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客户小程序或AIWA</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提交申请、确认方案、签署或补充资料</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clientRequestId、客户确认和附件</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运营后台</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校验、受理、分派、审批、状态推进和异常处理</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业务编号、状态、allowedActions和审计</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工单小程序或执行团队</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接单、签到、扫码、处理和上报</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节点时间、位置、照片和处理结果</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领域服务与第三方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事务、库存、付款、签约、物流和通知</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回调、事件、重试任务和最终结果</w:t>
            </w:r>
          </w:p>
        </w:tc>
      </w:tr>
    </w:tbl>
    <w:p>
      <w:pPr>
        <w:spacing w:after="0"/>
      </w:pPr>
    </w:p>
    <w:p>
      <w:pPr>
        <w:jc w:val="center"/>
      </w:pPr>
      <w:r>
        <w:drawing>
          <wp:inline xmlns:a="http://schemas.openxmlformats.org/drawingml/2006/main" xmlns:pic="http://schemas.openxmlformats.org/drawingml/2006/picture">
            <wp:extent cx="6080760" cy="2900523"/>
            <wp:docPr id="3" name="Picture 3"/>
            <wp:cNvGraphicFramePr>
              <a:graphicFrameLocks noChangeAspect="1"/>
            </wp:cNvGraphicFramePr>
            <a:graphic>
              <a:graphicData uri="http://schemas.openxmlformats.org/drawingml/2006/picture">
                <pic:pic>
                  <pic:nvPicPr>
                    <pic:cNvPr id="0" name="06-82023959-0-1.png"/>
                    <pic:cNvPicPr/>
                  </pic:nvPicPr>
                  <pic:blipFill>
                    <a:blip r:embed="rId13"/>
                    <a:stretch>
                      <a:fillRect/>
                    </a:stretch>
                  </pic:blipFill>
                  <pic:spPr>
                    <a:xfrm>
                      <a:off x="0" y="0"/>
                      <a:ext cx="6080760" cy="2900523"/>
                    </a:xfrm>
                    <a:prstGeom prst="rect"/>
                  </pic:spPr>
                </pic:pic>
              </a:graphicData>
            </a:graphic>
          </wp:inline>
        </w:drawing>
      </w:r>
    </w:p>
    <w:p>
      <w:pPr>
        <w:jc w:val="center"/>
      </w:pPr>
      <w:r>
        <w:rPr>
          <w:rFonts w:ascii="Calibri" w:hAnsi="Calibri" w:eastAsia="Microsoft YaHei"/>
          <w:b w:val="0"/>
          <w:color w:val="667085"/>
          <w:sz w:val="17"/>
        </w:rPr>
        <w:t>图 8-1  合同签约业务流程</w:t>
      </w:r>
    </w:p>
    <w:p>
      <w:r>
        <w:t>可编辑BPMN源文件：requirements/bpmn/签约付款.bpmn。流程分支、异常补偿和人工复核必须与本文档状态机保持一致。</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OS-OPS-PRD-06-X01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客户小程序打开签署链接前重新校验本人和合同状态</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OS-OPS-PRD-06-X02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签署成功后同步订单和客户资产</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OS-OPS-PRD-06-X03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续租合同与原合同建立版本和业务关系</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/ops/v1/contracts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/ops/v1/contracts/{id}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/ops/v1/contracts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/ops/v1/contracts/{id}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/ops/v1/contracts/{id}/actions/{action}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合同签约.Changed.v1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OS-OPS-PRD-06-AC01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OS-OPS-PRD-06-AC02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OS-OPS-PRD-06-AC03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OS-OPS-PRD-06-AC04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OS-OPS-PRD-06-AC05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OS-OPS-PRD-06-AC06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OS-OPS-PRD-06-AC07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OS-OPS-PRD-06-AC08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V2.3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OS-OPS-PRD-06  |  合同签约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