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转仓管理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OS-OPS-PRD-16  |  V2.3  |  2026-09-09</w:t>
      </w:r>
    </w:p>
    <w:p>
      <w:pPr>
        <w:spacing w:before="1440"/>
        <w:jc w:val="center"/>
      </w:pPr>
      <w:r>
        <w:rPr>
          <w:rFonts w:ascii="Calibri" w:hAnsi="Calibri" w:eastAsia="Microsoft YaHei"/>
          <w:b w:val="0"/>
          <w:color w:val="1F2937"/>
          <w:sz w:val="22"/>
        </w:rPr>
        <w:t>管理原仓位至目标仓位的选位、差价、按金、合同和交接。</w:t>
      </w:r>
    </w:p>
    <w:p>
      <w:r>
        <w:br w:type="page"/>
      </w:r>
    </w:p>
    <w:p>
      <w:pPr>
        <w:pStyle w:val="Heading1"/>
      </w:pPr>
      <w:r>
        <w:t>1 文档目标与范围</w:t>
      </w:r>
    </w:p>
    <w:p>
      <w:r>
        <w:t>管理原仓位至目标仓位的选位、差价、按金、合同和交接。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OS-OPS-PRD-16</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6-transfer.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转仓管理列表与处理入口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OS-OPS-PRD-16-FP02 计算差价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转仓管理列表与处理入口由查询条件、结果列表、状态标识、行级操作和分页区组成。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16-transfer-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新增转仓申请表单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OS-OPS-PRD-16-FP01 新增转仓；OS-OPS-PRD-16-FP03 生成新订单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16-transfer-process.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转仓申请详情与审核处理界面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OS-OPS-PRD-16-FP04 完成交接；OS-OPS-PRD-16-FP05 取消</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处理界面展示对象摘要、当前状态、流程节点、执行字段、处理记录以及下一步动作。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动作只在当前状态允许时可用；提交时携带expectedVersion，成功后回源刷新状态、时间线、SLA和allowedActions。</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转仓编号、客户、旧仓或新仓</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转仓日期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处理状态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转仓编号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旧仓发票</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仓由</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仓至</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转仓日期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新销售订单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旧单退租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产生新销售订单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备注</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原订单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原仓位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目标店铺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目标仓位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转仓日期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差价计算方式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租金差额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按金差额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新租期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新销售订单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旧单退租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交接负责人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新增转仓</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校验原租约有效并实时锁定目标仓位。</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计算差价</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按生效日分摊旧租金、新租金和按金。</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生成新订单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建立新SO并关联原订单和转仓单。</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完成交接</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确认原仓清空、目标仓启用和钥匙权限。</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取消</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释放目标仓并处理已支付差额。</w:t>
            </w:r>
          </w:p>
        </w:tc>
      </w:tr>
    </w:tbl>
    <w:p>
      <w:pPr>
        <w:spacing w:after="0"/>
      </w:pPr>
    </w:p>
    <w:p>
      <w:pPr>
        <w:pStyle w:val="Heading2"/>
      </w:pPr>
      <w:r>
        <w:t>6.1 新增转仓</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OS-OPS-PRD-16-FP01。功能目的为校验原租约有效并实时锁定目标仓位。</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原订单、客户、原仓位、目标店铺、目标仓位、转仓日期、差价计算方式、租金差额、按金差额、新租期、新销售订单、旧单退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服务端使用clientRequestId幂等校验，在事务内生成业务编号、主对象、初始状态和审计记录；事务提交后发布领域事件。校验原租约有效并实时锁定目标仓位。</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目标仓必须可用且预留未过期；原仓与目标仓不能相同。所有校验必须由服务端再次执行，前端校验只用于即时反馈。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页面提示“新增转仓成功”，刷新对象状态、version、allowedActions、关联对象和时间线；如产生异步任务，同时显示任务编号和进度入口。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客户小程序选择可转仓租约并查看报价。跨端消息只携带业务编号，接收端打开后重新鉴权并查询最新状态。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在允许状态下完成新增转仓时仅产生一次预期数据变化和一次审计记录；越权、错误状态、重复提交及版本冲突均不得产生重复对象或越级状态。</w:t>
      </w:r>
    </w:p>
    <w:p>
      <w:pPr>
        <w:pStyle w:val="Heading2"/>
      </w:pPr>
      <w:r>
        <w:t>6.2 计算差价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OS-OPS-PRD-16-FP02。功能目的为按生效日分摊旧租金、新租金和按金。</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在详情页执行计算差价，填写或核对原订单、客户、目标店铺、转仓日期、新销售订单、交接负责人、备注、转仓编号、产生新销售订单；界面随步骤显示当前节点、下一步和可撤回条件。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/ops/v1/transfers/{id}/actions/{action}，校验权限、当前状态、expectedVersion和业务不变量，在事务中写入状态及时间线。按生效日分摊旧租金、新租金和按金。</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差价计算保存参数和结果快照。所有校验必须由服务端再次执行，前端校验只用于即时反馈。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页面提示“计算差价成功”，刷新对象状态、version、allowedActions、关联对象和时间线；如产生异步任务，同时显示任务编号和进度入口。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客户确认后完成新合同签署和差价支付。跨端消息只携带业务编号，接收端打开后重新鉴权并查询最新状态。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在允许状态下完成计算差价时仅产生一次预期数据变化和一次审计记录；越权、错误状态、重复提交及版本冲突均不得产生重复对象或越级状态。</w:t>
      </w:r>
    </w:p>
    <w:p>
      <w:pPr>
        <w:pStyle w:val="Heading2"/>
      </w:pPr>
      <w:r>
        <w:t>6.3 生成新订单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OS-OPS-PRD-16-FP03。功能目的为建立新SO并关联原订单和转仓单。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原订单、客户、原仓位、目标店铺、目标仓位、转仓日期、差价计算方式、租金差额、按金差额、新租期、新销售订单、旧单退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服务端使用clientRequestId幂等校验，在事务内生成业务编号、主对象、初始状态和审计记录；事务提交后发布领域事件。建立新SO并关联原订单和转仓单。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目标仓必须可用且预留未过期；原仓与目标仓不能相同。所有校验必须由服务端再次执行，前端校验只用于即时反馈。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页面提示“生成新订单成功”，刷新对象状态、version、allowedActions、关联对象和时间线；如产生异步任务，同时显示任务编号和进度入口。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工单小程序接收搬仓和查仓任务。跨端消息只携带业务编号，接收端打开后重新鉴权并查询最新状态。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在允许状态下完成生成新订单时仅产生一次预期数据变化和一次审计记录；越权、错误状态、重复提交及版本冲突均不得产生重复对象或越级状态。</w:t>
      </w:r>
    </w:p>
    <w:p>
      <w:pPr>
        <w:pStyle w:val="Heading2"/>
      </w:pPr>
      <w:r>
        <w:t>6.4 完成交接</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OS-OPS-PRD-16-FP04。功能目的为确认原仓清空、目标仓启用和钥匙权限。</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在详情页执行完成交接，填写或核对原订单、客户、目标店铺、转仓日期、新销售订单、交接负责人、备注、转仓编号、产生新销售订单；界面随步骤显示当前节点、下一步和可撤回条件。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/ops/v1/transfers/{id}/actions/{action}，校验权限、当前状态、expectedVersion和业务不变量，在事务中写入状态及时间线。确认原仓清空、目标仓启用和钥匙权限。</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完成时原仓转待清仓，目标仓转已租用。所有校验必须由服务端再次执行，前端校验只用于即时反馈。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页面提示“完成交接成功”，刷新对象状态、version、allowedActions、关联对象和时间线；如产生异步任务，同时显示任务编号和进度入口。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客户小程序选择可转仓租约并查看报价。跨端消息只携带业务编号，接收端打开后重新鉴权并查询最新状态。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在允许状态下完成完成交接时仅产生一次预期数据变化和一次审计记录；越权、错误状态、重复提交及版本冲突均不得产生重复对象或越级状态。</w:t>
      </w:r>
    </w:p>
    <w:p>
      <w:pPr>
        <w:pStyle w:val="Heading2"/>
      </w:pPr>
      <w:r>
        <w:t>6.5 取消</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OS-OPS-PRD-16-FP05。功能目的为释放目标仓并处理已支付差额。</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在详情或行操作中触发取消，界面展示当前状态、目标状态、影响范围和原因；高风险动作二次确认。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/ops/v1/transfers/{id}/actions/{action}，校验权限、当前状态、expectedVersion和业务不变量，在事务中写入状态及时间线。释放目标仓并处理已支付差额。</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目标仓必须可用且预留未过期；原仓与目标仓不能相同。所有校验必须由服务端再次执行，前端校验只用于即时反馈。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页面提示“取消成功”，刷新对象状态、version、allowedActions、关联对象和时间线；如产生异步任务，同时显示任务编号和进度入口。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客户确认后完成新合同签署和差价支付。跨端消息只携带业务编号，接收端打开后重新鉴权并查询最新状态。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在允许状态下完成取消时仅产生一次预期数据变化和一次审计记录；越权、错误状态、重复提交及版本冲突均不得产生重复对象或越级状态。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转仓管理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已申请→目标仓预留→待报价确认→待签约付款→待交接→已完成；取消/异常</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目标仓必须可用且预留未过期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原仓与目标仓不能相同</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差价计算保存参数和结果快照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新合同生效前原合同保持有效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完成时原仓转待清仓，目标仓转已租用</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4" name="Picture 4"/>
            <wp:cNvGraphicFramePr>
              <a:graphicFrameLocks noChangeAspect="1"/>
            </wp:cNvGraphicFramePr>
            <a:graphic>
              <a:graphicData uri="http://schemas.openxmlformats.org/drawingml/2006/picture">
                <pic:pic>
                  <pic:nvPicPr>
                    <pic:cNvPr id="0" name="16-541d5fad-0-1.png"/>
                    <pic:cNvPicPr/>
                  </pic:nvPicPr>
                  <pic:blipFill>
                    <a:blip r:embed="rId14"/>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转仓管理业务流程</w:t>
      </w:r>
    </w:p>
    <w:p>
      <w:r>
        <w:t>可编辑BPMN源文件：requirements/bpmn/转仓.bpmn。流程分支、异常补偿和人工复核必须与本文档状态机保持一致。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客户小程序选择可转仓租约并查看报价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客户确认后完成新合同签署和差价支付</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工单小程序接收搬仓和查仓任务</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/ops/v1/transfers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/ops/v1/transfers/{id}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/ops/v1/transfers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/ops/v1/transfers/{id}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/ops/v1/transfers/{id}/actions/{action}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转仓管理.Changed.v1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OS-OPS-PRD-16  |  转仓管理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