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040"/>
        <w:jc w:val="center"/>
      </w:pPr>
      <w:r>
        <w:t>总纲与研发分工 PRD</w:t>
      </w:r>
    </w:p>
    <w:p>
      <w:pPr>
        <w:jc w:val="center"/>
      </w:pPr>
      <w:r>
        <w:rPr>
          <w:rFonts w:ascii="Calibri" w:hAnsi="Calibri" w:eastAsia="Microsoft YaHei"/>
          <w:b w:val="0"/>
          <w:color w:val="667085"/>
          <w:sz w:val="26"/>
        </w:rPr>
        <w:t>运营后台研发详细需求规格</w:t>
      </w:r>
    </w:p>
    <w:p>
      <w:pPr>
        <w:spacing w:before="440"/>
        <w:jc w:val="center"/>
      </w:pPr>
      <w:r>
        <w:rPr>
          <w:rFonts w:ascii="Calibri" w:hAnsi="Calibri" w:eastAsia="Microsoft YaHei"/>
          <w:b/>
          <w:color w:val="2E74B5"/>
          <w:sz w:val="20"/>
        </w:rPr>
        <w:t>OS-OPS-PRD-00  |  V2.0  |  2026-09-08</w:t>
      </w:r>
    </w:p>
    <w:p>
      <w:pPr>
        <w:spacing w:before="1440"/>
        <w:jc w:val="center"/>
      </w:pPr>
      <w:r>
        <w:rPr>
          <w:rFonts w:ascii="Calibri" w:hAnsi="Calibri" w:eastAsia="Microsoft YaHei"/>
          <w:b w:val="0"/>
          <w:color w:val="1F2937"/>
          <w:sz w:val="22"/>
        </w:rPr>
        <w:t>规定全部运营后台模块的需求深度、跨端边界、研发分工和验收基线。</w:t>
      </w:r>
    </w:p>
    <w:p>
      <w:r>
        <w:br w:type="page"/>
      </w:r>
    </w:p>
    <w:p>
      <w:pPr>
        <w:pStyle w:val="Heading1"/>
      </w:pPr>
      <w:r>
        <w:t>1 文档使用方式</w:t>
      </w:r>
    </w:p>
    <w:p>
      <w:r>
        <w:t>每个功能模块使用独立PRD。研发拆分不得只依据原型页面；必须同时实现字段规格、操作流程、状态机、权限、跨端规则、异常处理和验收条件。</w:t>
      </w:r>
    </w:p>
    <w:p>
      <w:pPr>
        <w:pStyle w:val="Heading2"/>
      </w:pPr>
      <w:r>
        <w:t>1.1 原型界面依据</w:t>
      </w:r>
    </w:p>
    <w:p>
      <w:r>
        <w:t>以下截图直接取自 AiwaBot产品原型-v3.2.html，用于核对页面布局、入口、字段和操作位置。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55080" cy="35747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-00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0-1  运营后台总体界面与运营总览</w:t>
      </w:r>
    </w:p>
    <w:p>
      <w:pPr>
        <w:pStyle w:val="Heading1"/>
      </w:pPr>
      <w:r>
        <w:t>2 单模块最低内容标准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920"/>
      </w:tblGrid>
      <w:tr>
        <w:trPr>
          <w:tblHeader/>
        </w:trPr>
        <w:tc>
          <w:tcPr>
            <w:tcW w:type="dxa" w:w="230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792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最低要求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页面结构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指标、筛选、列表、分页、空态和错误态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列表字段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字段名称、来源、展示、跳转、排序和脱敏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表单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控件、必填、格式、关联对象和跨字段校验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入口、前置条件、步骤、事务、副作用和失败处理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流程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状态机、BPMN、泳道、异常和补偿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跨端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客户小程序、工单小程序、AIWA和第三方规则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研发验收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接口、事件、权限、幂等、并发和测试用例</w:t>
            </w:r>
          </w:p>
        </w:tc>
      </w:tr>
    </w:tbl>
    <w:p>
      <w:pPr>
        <w:spacing w:after="0"/>
      </w:pPr>
    </w:p>
    <w:p>
      <w:pPr>
        <w:pStyle w:val="Heading1"/>
      </w:pPr>
      <w:r>
        <w:t>3 模块拆分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3600"/>
        <w:gridCol w:w="2088"/>
        <w:gridCol w:w="3600"/>
      </w:tblGrid>
      <w:tr>
        <w:trPr>
          <w:tblHeader/>
        </w:trPr>
        <w:tc>
          <w:tcPr>
            <w:tcW w:type="dxa" w:w="936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360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208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分类</w:t>
            </w:r>
          </w:p>
        </w:tc>
        <w:tc>
          <w:tcPr>
            <w:tcW w:type="dxa" w:w="360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交付方式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01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运营总览 PRD</w:t>
            </w:r>
          </w:p>
        </w:tc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运营与销售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独立开发、评审和验收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02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线索池 PRD</w:t>
            </w:r>
          </w:p>
        </w:tc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运营与销售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独立开发、评审和验收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03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预约管理 PRD</w:t>
            </w:r>
          </w:p>
        </w:tc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运营与销售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独立开发、评审和验收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04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销售机会 PRD</w:t>
            </w:r>
          </w:p>
        </w:tc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运营与销售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独立开发、评审和验收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05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订单中心 PRD</w:t>
            </w:r>
          </w:p>
        </w:tc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交易与客户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独立开发、评审和验收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06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合同签约 PRD</w:t>
            </w:r>
          </w:p>
        </w:tc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交易与客户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独立开发、评审和验收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07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保险产品管理 PRD</w:t>
            </w:r>
          </w:p>
        </w:tc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交易与客户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独立开发、评审和验收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08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保单管理 PRD</w:t>
            </w:r>
          </w:p>
        </w:tc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交易与客户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独立开发、评审和验收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09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收款与付款凭证 PRD</w:t>
            </w:r>
          </w:p>
        </w:tc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交易与客户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独立开发、评审和验收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10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客户档案 PRD</w:t>
            </w:r>
          </w:p>
        </w:tc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交易与客户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独立开发、评审和验收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11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客户分析 PRD</w:t>
            </w:r>
          </w:p>
        </w:tc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交易与客户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独立开发、评审和验收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12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店铺管理 PRD</w:t>
            </w:r>
          </w:p>
        </w:tc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门店与仓储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独立开发、评审和验收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13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迷你仓空间管理 PRD</w:t>
            </w:r>
          </w:p>
        </w:tc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门店与仓储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独立开发、评审和验收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14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续租管理 PRD</w:t>
            </w:r>
          </w:p>
        </w:tc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门店与仓储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独立开发、评审和验收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15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退租管理 PRD</w:t>
            </w:r>
          </w:p>
        </w:tc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门店与仓储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独立开发、评审和验收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16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转仓管理 PRD</w:t>
            </w:r>
          </w:p>
        </w:tc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门店与仓储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独立开发、评审和验收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17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迷你箱资产管理 PRD</w:t>
            </w:r>
          </w:p>
        </w:tc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迷你箱与商品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独立开发、评审和验收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18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迷你箱配对 PRD</w:t>
            </w:r>
          </w:p>
        </w:tc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迷你箱与商品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独立开发、评审和验收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19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迷你箱物流履约 PRD</w:t>
            </w:r>
          </w:p>
        </w:tc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迷你箱与商品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独立开发、评审和验收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20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迷你箱套餐管理 PRD</w:t>
            </w:r>
          </w:p>
        </w:tc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迷你箱与商品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独立开发、评审和验收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21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衍生商品管理 PRD</w:t>
            </w:r>
          </w:p>
        </w:tc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迷你箱与商品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独立开发、评审和验收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22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工单分析 PRD</w:t>
            </w:r>
          </w:p>
        </w:tc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工单与营销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独立开发、评审和验收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23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工单中心 PRD</w:t>
            </w:r>
          </w:p>
        </w:tc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工单与营销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独立开发、评审和验收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24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营销活动管理 PRD</w:t>
            </w:r>
          </w:p>
        </w:tc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工单与营销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独立开发、评审和验收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25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优惠券管理 PRD</w:t>
            </w:r>
          </w:p>
        </w:tc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工单与营销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独立开发、评审和验收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26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推荐码管理 PRD</w:t>
            </w:r>
          </w:p>
        </w:tc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工单与营销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独立开发、评审和验收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27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团队管理 PRD</w:t>
            </w:r>
          </w:p>
        </w:tc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组织与权限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独立开发、评审和验收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28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用户管理 PRD</w:t>
            </w:r>
          </w:p>
        </w:tc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组织与权限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独立开发、评审和验收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29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角色与权限 PRD</w:t>
            </w:r>
          </w:p>
        </w:tc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组织与权限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独立开发、评审和验收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30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操作审计 PRD</w:t>
            </w:r>
          </w:p>
        </w:tc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组织与权限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独立开发、评审和验收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31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跨端API契约 PRD</w:t>
            </w:r>
          </w:p>
        </w:tc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平台能力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独立开发、评审和验收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32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领域事件总线 PRD</w:t>
            </w:r>
          </w:p>
        </w:tc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平台能力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独立开发、评审和验收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33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通知中心 PRD</w:t>
            </w:r>
          </w:p>
        </w:tc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平台能力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独立开发、评审和验收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34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数据迁移 PRD</w:t>
            </w:r>
          </w:p>
        </w:tc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平台能力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独立开发、评审和验收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35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系统监控与运维 PRD</w:t>
            </w:r>
          </w:p>
        </w:tc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平台能力</w:t>
            </w:r>
          </w:p>
        </w:tc>
        <w:tc>
          <w:tcPr>
            <w:tcW w:type="dxa" w:w="36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独立开发、评审和验收</w:t>
            </w:r>
          </w:p>
        </w:tc>
      </w:tr>
    </w:tbl>
    <w:p>
      <w:pPr>
        <w:spacing w:after="0"/>
      </w:pPr>
    </w:p>
    <w:p>
      <w:pPr>
        <w:pStyle w:val="Heading1"/>
      </w:pPr>
      <w:r>
        <w:t>4 跨端总体规则</w:t>
      </w:r>
    </w:p>
    <w:p>
      <w:pPr>
        <w:pStyle w:val="ListBullet"/>
      </w:pPr>
      <w:r>
        <w:t>客户小程序只操作本人订单、预约、合同、保单、续租、退租和转仓申请</w:t>
      </w:r>
    </w:p>
    <w:p>
      <w:pPr>
        <w:pStyle w:val="ListBullet"/>
      </w:pPr>
      <w:r>
        <w:t>工单小程序只操作本人或团队工单，节点结果回写运营后台</w:t>
      </w:r>
    </w:p>
    <w:p>
      <w:pPr>
        <w:pStyle w:val="ListBullet"/>
      </w:pPr>
      <w:r>
        <w:t>AIWA只能通过白名单工具创建建议、线索或任务，不自动批准付款、退款、折扣和权限</w:t>
      </w:r>
    </w:p>
    <w:p>
      <w:pPr>
        <w:pStyle w:val="ListBullet"/>
      </w:pPr>
      <w:r>
        <w:t>所有写操作使用clientRequestId和expectedVersion</w:t>
      </w:r>
    </w:p>
    <w:p>
      <w:pPr>
        <w:pStyle w:val="ListBullet"/>
      </w:pPr>
      <w:r>
        <w:t>跨端深链打开后重新校验登录、数据范围、对象状态和allowedActions</w:t>
      </w:r>
    </w:p>
    <w:p>
      <w:pPr>
        <w:pStyle w:val="Heading1"/>
      </w:pPr>
      <w:r>
        <w:t>5 BPMN流程清单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4608"/>
        <w:gridCol w:w="2736"/>
      </w:tblGrid>
      <w:tr>
        <w:trPr>
          <w:tblHeader/>
        </w:trPr>
        <w:tc>
          <w:tcPr>
            <w:tcW w:type="dxa" w:w="28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流程</w:t>
            </w:r>
          </w:p>
        </w:tc>
        <w:tc>
          <w:tcPr>
            <w:tcW w:type="dxa" w:w="460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2736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格式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工单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工单.bpmn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可编辑BPMN 2.0 XML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签约付款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签约付款.bpmn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可编辑BPMN 2.0 XML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续租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续租.bpmn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可编辑BPMN 2.0 XML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营销核销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营销核销.bpmn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可编辑BPMN 2.0 XML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转仓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转仓.bpmn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可编辑BPMN 2.0 XML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迷你箱履约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迷你箱履约.bpmn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可编辑BPMN 2.0 XML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退租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退租.bpmn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可编辑BPMN 2.0 XML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销售转化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销售转化.bpmn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可编辑BPMN 2.0 XML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预约履约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预约履约.bpmn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可编辑BPMN 2.0 XML</w:t>
            </w:r>
          </w:p>
        </w:tc>
      </w:tr>
    </w:tbl>
    <w:p>
      <w:pPr>
        <w:spacing w:after="0"/>
      </w:pPr>
    </w:p>
    <w:p>
      <w:pPr>
        <w:pStyle w:val="Heading1"/>
      </w:pPr>
      <w:r>
        <w:t>6 统一验收门槛</w:t>
      </w:r>
    </w:p>
    <w:p>
      <w:pPr>
        <w:pStyle w:val="ListBullet"/>
      </w:pPr>
      <w:r>
        <w:t>字段字典与实际页面、接口Schema和导出列一致</w:t>
      </w:r>
    </w:p>
    <w:p>
      <w:pPr>
        <w:pStyle w:val="ListBullet"/>
      </w:pPr>
      <w:r>
        <w:t>每个状态动作具备权限、前置状态、幂等和审计测试</w:t>
      </w:r>
    </w:p>
    <w:p>
      <w:pPr>
        <w:pStyle w:val="ListBullet"/>
      </w:pPr>
      <w:r>
        <w:t>跨端编号、状态、金额、节点时间和失败原因一致</w:t>
      </w:r>
    </w:p>
    <w:p>
      <w:pPr>
        <w:pStyle w:val="ListBullet"/>
      </w:pPr>
      <w:r>
        <w:t>所有BPMN节点能映射到状态动作、负责人和事件</w:t>
      </w:r>
    </w:p>
    <w:p>
      <w:pPr>
        <w:pStyle w:val="ListBullet"/>
      </w:pPr>
      <w:r>
        <w:t>P0功能完成自动化测试并通过业务UAT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979" w:bottom="979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5"/>
      </w:rPr>
      <w:t xml:space="preserve">V2.0  |  2026-09-08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/>
        <w:color w:val="17365D"/>
        <w:sz w:val="15"/>
      </w:rPr>
      <w:t>ONE STORAGE  |  OS-OPS-PRD-00  |  总纲与研发分工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