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客户分析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OS-OPS-PRD-11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按统一口径分析客户生命周期、价值、活跃度、续租和流失风险，并生成可执行客群。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按统一口径分析客户生命周期、价值、活跃度、续租和流失风险，并生成可执行客群。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OS-OPS-PRD-11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11-customer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11-1  客户分析指标与分布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统计周期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业务类型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店铺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客户生命周期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价值分层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风险等级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OS-OPS-PRD-11-L01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指标或客群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OS-OPS-PRD-11-L02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OS-OPS-PRD-11-L03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客户占比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OS-OPS-PRD-11-L04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本期值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OS-OPS-PRD-11-L05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对比值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OS-OPS-PRD-11-L06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变化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OS-OPS-PRD-11-L07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统计口径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OS-OPS-PRD-11-L08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更新时间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服务器更新时间，格式YYYY-MM-DD HH:mm:ss。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OS-OPS-PRD-11-L09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下钻入口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OS-OPS-PRD-11-F01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客群名称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OS-OPS-PRD-11-F02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筛选条件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OS-OPS-PRD-11-F03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排除条件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OS-OPS-PRD-11-F04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统计截止时间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OS-OPS-PRD-11-F05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负责人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OS-OPS-PRD-11-F06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用途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OS-OPS-PRD-11-F07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有效期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OS-OPS-PRD-11-F08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导出脱敏级别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OS-OPS-PRD-11-A01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切换分析维度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按生命周期、价值、渠道、业务和区域重算。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OS-OPS-PRD-11-A02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查看口径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展示指标定义、分子分母、排除项和版本。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OS-OPS-PRD-11-A03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下钻客户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携带规则条件跳转客户列表且数量一致。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OS-OPS-PRD-11-A04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生成客群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固化规则和统计截止时间，异步生成客户清单。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OS-OPS-PRD-11-A05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导出或创建任务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执行数据范围和营销授权校验。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客户分析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计算中→可用/部分可用/失败；客群：草稿→已生成→已使用→已过期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同一客户在同一指标周期去重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当前在租、活跃、续租率和流失风险口径独立版本化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系统通知不计入有效互动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统计迟到数据按重算规则处理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导出前再次校验客户授权和敏感字段权限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小程序行为事件只传业务必要字段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AIWA互动计入活跃度但原文不进入分析宽表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生成的回访任务可发送至负责人工作台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/ops/v1/customer-analytics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/ops/v1/customer-analytics/{id}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/ops/v1/customer-analytics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/ops/v1/customer-analytics/{id}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/ops/v1/customer-analytics/{id}/actions/{action}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客户分析.Changed.v1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OS-OPS-PRD-11  |  客户分析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