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操作审计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OS-OPS-PRD-30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集中记录查询敏感数据、导出、写操作、审批、权限变更和第三方调用，支持检索与取证。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集中记录查询敏感数据、导出、写操作、审批、权限变更和第三方调用，支持检索与取证。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OS-OPS-PRD-30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原型暂缺独立页面。AiwaBot产品原型-v3.2.html 未提供本技术治理模块的专属界面，研发应以本文档的接口、状态、权限、审计与验收要求为准，不得根据示意图补充实现。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日志、操作者、对象或请求编号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模块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动作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结果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风险等级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发生时间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IP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日志编号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发生时间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操作者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allowedActions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部门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组织或门店主数据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显示名称并保留ID；数据范围变化后重新校验。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IP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设备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模块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变更摘要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结果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请求编号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OS-OPS-PRD-30-L14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导出用途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查询条件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时间范围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审批单号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脱敏级别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检索日志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按索引查询且不能修改原日志。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查看变更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展示字段级前后值摘要，敏感值继续脱敏。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关联请求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按requestId串联接口、事件和第三方调用。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导出审计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需用途和权限，导出行为自身也记录。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OS-OPS-PRD-30-A05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归档与校验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按保留策略归档并验证完整性。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写入中→已落库；归档中→已归档/失败；风险：普通→关注→高风险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审计日志追加写不可更新删除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记录操作者主体、代理主体和客户端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敏感原文不进入普通日志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关键日志保存哈希或签名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保留期和访问权限按日志类别配置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小程序代客或客户自助操作记录渠道和身份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工单小程序离线补传保留设备时间和服务端接收时间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第三方回调记录验签结果和外部交易号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/ops/v1/audit-logs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/ops/v1/audit-logs/{id}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/ops/v1/audit-logs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/ops/v1/audit-logs/{id}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/ops/v1/audit-logs/{id}/actions/{action}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操作审计.Changed.v1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OS-OPS-PRD-30-AC08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OS-OPS-PRD-30  |  操作审计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