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跨端API契约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定义运营后台、客户小程序、工单小程序和AIWA之间统一的身份、请求、响应、错误、幂等和版本规则。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定义运营后台、客户小程序、工单小程序和AIWA之间统一的身份、请求、响应、错误、幂等和版本规则。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原型暂缺独立页面。AiwaBot产品原型-v3.2.html 未提供本技术治理模块的专属界面，研发应以本文档的接口、状态、权限、审计与验收要求为准，不得根据示意图补充实现。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接口编号、路径或负责人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调用端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方法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版本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接口编号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方法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路径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调用端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权限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请求模型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响应模型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幂等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限流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超时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接口名称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方法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调用端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权限点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响应Schema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错误码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限流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超时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变更说明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新增契约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定义Schema、错误码和示例。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评审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由调用端、服务端、测试和安全确认。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生成版本和变更日志。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兼容性检查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阻止未声明的破坏性变更。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废弃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给出迁移期限和调用量。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草稿→评审中→已发布→已废弃；兼容版本并行→下线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时间使用ISO 8601并明确Asia/Hong_Kong业务日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金额使用最小货币单位和币种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列表分页、排序和错误结构统一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服务端逐动作鉴权并返回allowedActions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客户小程序只访问本人资源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工单小程序支持安全的离线重试和幂等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AIWA仅调用白名单工具并使用最小字段集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/ops/v1/integration-contracts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/ops/v1/integration-contracts/{id}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/ops/v1/integration-contracts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/ops/v1/integration-contracts/{id}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/ops/v1/integration-contracts/{id}/actions/{action}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OS-OPS-PRD-31  |  跨端API契约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