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领域事件总线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OS-OPS-PRD-32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用版本化领域事件同步订单、付款、仓位、预约、工单、通知和分析，保证可重放、可追踪和最终一致。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用版本化领域事件同步订单、付款、仓位、预约、工单、通知和分析，保证可重放、可追踪和最终一致。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OS-OPS-PRD-32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原型暂缺独立页面。AiwaBot产品原型-v3.2.html 未提供本技术治理模块的专属界面，研发应以本文档的接口、状态、权限、审计与验收要求为准，不得根据示意图补充实现。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事件ID、类型或聚合编号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生产者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消费者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发生时间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重试次数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事件类型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聚合类型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事件版本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生产者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消费者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触发条件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分区键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重试策略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死信状态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敏感级别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保留期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OS-OPS-PRD-32-L12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事件类型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Schema版本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聚合类型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分区键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生产者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消费者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字段Schema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敏感字段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重试次数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退避策略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死信处理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保留期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发布事件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业务事务提交后通过outbox发布。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消费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按eventId和consumer幂等。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查看链路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串联业务请求、事件和消费者结果。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重试或重放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选择范围并评估副作用。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OS-OPS-PRD-32-A05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处理死信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修复原因后人工确认重放。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领域事件总线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待发布→已发布→消费中→已消费；失败→重试→死信→人工重放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事件不可承载不必要的敏感原文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同一聚合使用稳定分区键保证顺序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消费者必须幂等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Schema演进向后兼容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重放不重复发券、扣款、退款或通知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小程序不直接消费内部事件，由BFF提供状态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工单节点事件更新后台和客户可见进度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通知、搜索和分析允许最终一致，详情读取主域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/ops/v1/domain-events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/ops/v1/domain-events/{id}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/ops/v1/domain-events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/ops/v1/domain-events/{id}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/ops/v1/domain-events/{id}/actions/{action}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领域事件总线.Changed.v1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OS-OPS-PRD-32-AC08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OS-OPS-PRD-32  |  领域事件总线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