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运营总览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OS-OPS-PRD-01  |  V2.2  |  2026-09-09</w:t>
      </w:r>
    </w:p>
    <w:p>
      <w:pPr>
        <w:spacing w:before="1440"/>
        <w:jc w:val="center"/>
      </w:pPr>
      <w:r>
        <w:rPr>
          <w:rFonts w:ascii="Calibri" w:hAnsi="Calibri" w:eastAsia="Microsoft YaHei"/>
          <w:b w:val="0"/>
          <w:color w:val="1F2937"/>
          <w:sz w:val="22"/>
        </w:rPr>
        <w:t>为管理层和运营人员提供统一经营视图，并支持从异常指标下钻到线索、订单、续租、仓位和工单。</w:t>
      </w:r>
    </w:p>
    <w:p>
      <w:r>
        <w:br w:type="page"/>
      </w:r>
    </w:p>
    <w:p>
      <w:pPr>
        <w:pStyle w:val="Heading1"/>
      </w:pPr>
      <w:r>
        <w:t>1 文档目标与范围</w:t>
      </w:r>
    </w:p>
    <w:p>
      <w:r>
        <w:t>为管理层和运营人员提供统一经营视图，并支持从异常指标下钻到线索、订单、续租、仓位和工单。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OS-OPS-PRD-01</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1-dashboard.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运营总览页面</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OS-OPS-PRD-01-FP01 切换统计周期；OS-OPS-PRD-01-FP02 指标口径说明；OS-OPS-PRD-01-FP03 指标下钻；OS-OPS-PRD-01-FP04 生成报告；OS-OPS-PRD-01-FP05 地图与门店下钻</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顶部为周期和范围筛选，中部为指标卡与图表，内容区提供异常、趋势和下钻入口。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筛选变化后组件分别进入加载态；图表显示口径、截止时间和空态。点击卡片、图例或数据点时携带当前筛选下钻。</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3.1 统计口径总则</w:t>
      </w:r>
    </w:p>
    <w:tbl>
      <w:tblPr>
        <w:tblStyle w:val="TableGrid"/>
        <w:tblW w:type="dxa" w:w="10224"/>
        <w:jc w:val="center"/>
        <w:tblLayout w:type="fixed"/>
        <w:tblLook w:firstColumn="1" w:firstRow="1" w:lastColumn="0" w:lastRow="0" w:noHBand="0" w:noVBand="1" w:val="04A0"/>
      </w:tblPr>
      <w:tblGrid>
        <w:gridCol w:w="2088"/>
        <w:gridCol w:w="8136"/>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6"/>
              </w:rPr>
              <w:t>规则项</w:t>
            </w:r>
          </w:p>
        </w:tc>
        <w:tc>
          <w:tcPr>
            <w:tcW w:type="dxa" w:w="8136"/>
            <w:shd w:fill="17365D"/>
            <w:tcMar>
              <w:top w:w="75" w:type="dxa"/>
              <w:start w:w="100" w:type="dxa"/>
              <w:bottom w:w="75" w:type="dxa"/>
              <w:end w:w="100" w:type="dxa"/>
            </w:tcMar>
            <w:vAlign w:val="center"/>
          </w:tcPr>
          <w:p>
            <w:r>
              <w:rPr>
                <w:rFonts w:ascii="Calibri" w:hAnsi="Calibri" w:eastAsia="Microsoft YaHei"/>
                <w:b/>
                <w:color w:val="FFFFFF"/>
                <w:sz w:val="16"/>
              </w:rPr>
              <w:t>开发规格</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时区与区间</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统一使用Asia/Hong_Kong。周为周一00:00至下周一00:00，月/季为自然月/自然季；事件型指标使用左闭右开区间[startAt,endAt)。</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报告截止时点</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每次查询返回asOfTime；未结束周期只统计至asOfTime。同比/环比取紧邻可比周期的相同已过时长，页面必须显示“截至时间”。</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事件型与快照型</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现金流、成交、收入、新增客户使用业务事件时间；出租率、开放工单、客户在租状态使用截止时点快照。两类指标不得互换时间字段。</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数据范围</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所有指标先应用当前用户dataScope，再应用区域、门店、业务类型筛选。跨门店订单按指标规则指定的归属门店统计，不得重复计入。</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去重与冲正</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订单/线索/仓位/迷你箱/工单按各自主键去重；事件以eventId幂等。迟到事件进入下一次重算；退款与冲正计入实际完成周期，并保留原交易关联。</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精度与展示</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金额以分存储、HKD展示；计数为整数；率先用未四舍五入分子分母计算，再四舍五入到2位，小卡可显示1位。目标偏差使用百分点pp。</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零分母</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分母为0时值返回null，界面显示“—/暂无可计算数据”，不得显示0%；同时返回reasonCode=ZERO_DENOMINATOR。</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刷新与降级</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线索/订单/资产/续租5分钟、工单1分钟、财务15分钟、客户30分钟。任一源超SLA时标记受影响组件、显示最后成功时间，禁止用0替代失败。</w:t>
            </w:r>
          </w:p>
        </w:tc>
      </w:tr>
    </w:tbl>
    <w:p>
      <w:pPr>
        <w:spacing w:after="0"/>
      </w:pPr>
    </w:p>
    <w:p>
      <w:pPr>
        <w:pStyle w:val="Heading2"/>
      </w:pPr>
      <w:r>
        <w:t>3.2 核心指标卡计算规则</w:t>
      </w:r>
    </w:p>
    <w:tbl>
      <w:tblPr>
        <w:tblStyle w:val="TableGrid"/>
        <w:tblW w:type="dxa" w:w="10224"/>
        <w:jc w:val="center"/>
        <w:tblLayout w:type="fixed"/>
        <w:tblLook w:firstColumn="1" w:firstRow="1" w:lastColumn="0" w:lastRow="0" w:noHBand="0" w:noVBand="1" w:val="04A0"/>
      </w:tblPr>
      <w:tblGrid>
        <w:gridCol w:w="1800"/>
        <w:gridCol w:w="3528"/>
        <w:gridCol w:w="3096"/>
        <w:gridCol w:w="1800"/>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指标ID/指标</w:t>
            </w:r>
          </w:p>
        </w:tc>
        <w:tc>
          <w:tcPr>
            <w:tcW w:type="dxa" w:w="3528"/>
            <w:shd w:fill="17365D"/>
            <w:tcMar>
              <w:top w:w="75" w:type="dxa"/>
              <w:start w:w="100" w:type="dxa"/>
              <w:bottom w:w="75" w:type="dxa"/>
              <w:end w:w="100" w:type="dxa"/>
            </w:tcMar>
            <w:vAlign w:val="center"/>
          </w:tcPr>
          <w:p>
            <w:r>
              <w:rPr>
                <w:rFonts w:ascii="Calibri" w:hAnsi="Calibri" w:eastAsia="Microsoft YaHei"/>
                <w:b/>
                <w:color w:val="FFFFFF"/>
                <w:sz w:val="14"/>
              </w:rPr>
              <w:t>公式与去重</w:t>
            </w:r>
          </w:p>
        </w:tc>
        <w:tc>
          <w:tcPr>
            <w:tcW w:type="dxa" w:w="3096"/>
            <w:shd w:fill="17365D"/>
            <w:tcMar>
              <w:top w:w="75" w:type="dxa"/>
              <w:start w:w="100" w:type="dxa"/>
              <w:bottom w:w="75" w:type="dxa"/>
              <w:end w:w="100" w:type="dxa"/>
            </w:tcMar>
            <w:vAlign w:val="center"/>
          </w:tcPr>
          <w:p>
            <w:r>
              <w:rPr>
                <w:rFonts w:ascii="Calibri" w:hAnsi="Calibri" w:eastAsia="Microsoft YaHei"/>
                <w:b/>
                <w:color w:val="FFFFFF"/>
                <w:sz w:val="14"/>
              </w:rPr>
              <w:t>时间口径及排除项</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刷新、下钻与对账</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K01 本月现金流</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Σ已入账现金流入（租金、按金、服务费）－Σ已完成退款－Σ已确认现金支出；以paymentTransactionId去重，币种统一为HKD。</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postedAt落在所选周期；排除应收未收、待核验付款、仅开票、作废/测试交易。跨币种按入账日财务汇率换算。</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15分钟；下钻付款凭证，明细分项合计必须与卡片精确到分一致。</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K02 本月成交</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COUNT(DISTINCT orderId)，条件为合同签署完成且首笔应收确认；同一订单仅计1次。转化率＝当期有效线索归因成交数÷当期有效线索数。</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成交时间取firstReceivableConfirmedAt；排除草稿、取消、全额退款、重复转化、测试订单。线索按leadId去重。</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5分钟；下钻订单中心。卡片同时返回dealCount、leadCount、conversionRate，前端不得自行混用口径。</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K03 面积出租率</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期末已租迷你仓实际面积÷期末可出租迷你仓实际面积×100%；按面积加权，不得平均各仓位出租率。</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取报告截止时点快照；仅正常营业门店。禁用、维修及nonRentable仓位不进入分母；已生效占用进入分子。</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5分钟；下钻空间管理，并返回rentedArea、rentableArea和目标值。</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K04 容积出租率</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期末已租可用容积÷期末可出租可用容积×100%；仓位容积＝有效长×宽×高，统一单位后汇总。</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取截止时点快照；尺寸缺失仓位不进入分子/分母并计入口径异常数；禁用、维修、不可出租排除。</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5分钟；下钻缺尺寸及在租仓位，返回rentedVolume、rentableVolume、invalidDimensionCount。</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K05 迷你箱出租率</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（已配对＋在仓在租＋召回处理中）迷你箱数÷可运营迷你箱总数×100%；按boxId去重。</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取截止时点最新状态；维修、报废、禁用、测试箱不进分母。召回完成且解除客户关系后不再计入分子。</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5分钟；下钻迷你箱资产，返回rentedBoxCount、operableBoxCount。</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K06 30天内到期</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COUNT(DISTINCT unitId)，active合同的endDate位于(asOfDate, asOfDate＋30天]。</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以香港自然日计算；已完成续租、已退租、取消、测试订单排除；转仓合并后只统计目标有效仓位。</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5分钟；下钻续租管理并携带expiryFrom/expiryTo；展示最近到期剩余天数。</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K07 总体续租率</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已完成续租客户数÷符合续租条件的到期客户数×100%；同一客户同一续租事件涉及多个仓位只计1人。</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分母按原合同到期日在所选周期；分子须续租合同已签且首笔续租款已确认。主动退租、作废合同、测试订单、转仓合并排除。</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5分钟；下钻续租管理，返回eligibleCustomerCount、renewedCustomerCount、pendingCustomerCount。</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K08 当前开放工单</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COUNT(DISTINCT ticketId)，状态属于待接单、待处理、处理中、待复核等非终态。</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取截止时点快照；取消、已完成、已关闭、测试工单排除；按当前归属门店计数。</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1分钟；下钻工单中心并携带openStatus集合。</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K09 SLA风险</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开放工单中已超SLA，或预计剩余时长≤预警阈值的COUNT(DISTINCT ticketId)。</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暂停计时须有获批暂停区间；剩余时长＝SLA截止－当前时间－有效暂停时长。阈值由工单类型/优先级配置。</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1分钟；下钻SLA风险清单，优先显示已超时，再按剩余时长升序。</w:t>
            </w:r>
          </w:p>
        </w:tc>
      </w:tr>
    </w:tbl>
    <w:p>
      <w:pPr>
        <w:spacing w:after="0"/>
      </w:pPr>
    </w:p>
    <w:p>
      <w:pPr>
        <w:pStyle w:val="Heading2"/>
      </w:pPr>
      <w:r>
        <w:t>3.3 图表统计规则</w:t>
      </w:r>
    </w:p>
    <w:tbl>
      <w:tblPr>
        <w:tblStyle w:val="TableGrid"/>
        <w:tblW w:type="dxa" w:w="10224"/>
        <w:jc w:val="center"/>
        <w:tblLayout w:type="fixed"/>
        <w:tblLook w:firstColumn="1" w:firstRow="1" w:lastColumn="0" w:lastRow="0" w:noHBand="0" w:noVBand="1" w:val="04A0"/>
      </w:tblPr>
      <w:tblGrid>
        <w:gridCol w:w="1944"/>
        <w:gridCol w:w="1440"/>
        <w:gridCol w:w="3672"/>
        <w:gridCol w:w="3168"/>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图表ID/名称</w:t>
            </w:r>
          </w:p>
        </w:tc>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图形</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4"/>
              </w:rPr>
              <w:t>统计公式与维度</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特殊规则、联动与下钻</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C01 销售转化路径</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数字漏斗/路径</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线索317、有效联系276、预约看仓66、入住成交84；有效联系率＝有效联系线索÷有效线索；联系后成交率＝有效联系后成交线索÷有效联系线索。</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预约不是成交必经节点，禁止用相邻柱高强制单调；看仓率分母为具备看仓意向的有效联系线索。点击阶段下钻对应线索/预约/订单。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C02 营销效率</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预算进度＋成本指标</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执行率＝已确认营销支出÷已审批预算；余额＝预算－支出；CPL＝支出÷付费渠道有效线索；来电成本＝支出÷归因有效来电；成交成本＝支出÷归因成交订单。</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按campaignId及首触归因；分母为0显示“—”。原型示例预算120,000、余额18,226，对应执行率84.8%。</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C03 获客渠道构成</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环形图</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按有效线索firstTouchChannel分组COUNT(DISTINCT leadId)，占比＝渠道线索数÷全部有效线索数。</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未知渠道单列“其他/未知”；按数量降序；百分比由后端原始分子分母计算，末位差使用最大余数法校正到100%。</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C04 门店续租率</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门店柱状图＋目标线</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门店续租率＝门店已完成续租客户÷门店符合条件到期客户；目标线默认75%，配置化。</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客户按customerId＋renewalEventId去重，门店按原到期合同storeId归属；同率时按符合条件客户数降序。点击门店下钻。</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C05 续租时机分布</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近4季度柱线图</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柱为renewalEffectiveAt落入季度的续租客户数；率为原合同到期日在该季度的已续客户÷符合条件客户。</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数量与续租率使用不同时间锚点，接口必须分别返回countTimeBasis和rateTimeBasis，页面问号明确说明，禁止用柱值直接除出率。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C06 现金流与收入趋势</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近7月双折线</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收入线＝已入账租金＋服务费，不含可退按金和现金支出；现金流净额按K01。对比线取紧邻上一可比周期，并按相同已过天数截断。</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月粒度按香港时区；当前月未结束显示“截至M月D日”。点击月份下钻付款凭证；退款回冲到实际完成月份，不回写原月。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C07 空间利用率</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三项仪表/进度条</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面积、容积、迷你箱分别严格复用K03、K04、K05，不允许前端二次聚合。</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同时返回分子、分母、异常资产数及快照时间；区域/门店筛选后重新计算，不使用全局率平均。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C08 重点门店效率</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门店排名条形图</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门店面积出租率、续租率及未来30天到期数；默认取面积出租率Top4。</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排序：出租率降序→可出租面积降序→storeCode升序；目标线85%。点击门店进入楼层/仓位视图并继承截止时点。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C09 迷你箱区域状态</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分组堆叠条形图</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按box最新StoreLocation分组；在租＝已配对＋在仓在租＋召回处理中，空闲＝当前可用。</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区域合计须等于全局可运营箱数；位置未知单列“待定位”；原型示例699在租、751空闲、合计1450，出租率48.21%。</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C10 到期风险分布</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分段柱状图</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将K06仓位按剩余自然日分为1–7天、8–14天、15–30天，区间互斥且并集等于30天到期数。</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剩余天数＝endDate－asOfDate；当日已到期进入逾期清单，不进入未来30天。点击分段下钻并携带精确日期区间。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C11 工单处置概览</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状态卡＋类型分布</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开放工单按待处理/处理中/SLA风险分组；今日完成按completedAt香港自然日；类型分布按ticketType；高优先级按priority配置。</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状态分组互斥，SLA风险为开放工单的交叉标签，不与状态数相加；点击类型或状态下钻工单中心。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C12 订单业务分布</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环形图＋最新动态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按所选周期有效订单businessType分为迷你仓、迷你箱、续租、退租；COUNT(DISTINCT orderId)，占比＝类型订单数÷总有效订单数。</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排除草稿、取消、测试及全额退款订单；最新动态按业务节点时间倒序，仅显示用户有权限的数据。原型固定数字不得写死。</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C13 客户资产概览</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指标卡＋客群构成</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客户总数按有效customerId；活跃在租为截止时点至少一个有效租约；新增按createdAt；资料完整率＝必填主档字段完整客户÷有效客户。</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客群标签按优先级互斥：活跃迷你仓→活跃迷你箱→潜在客户→历史客户；一个客户只落一个主分群。点击下钻客户档案。</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C14 空间经营全景</w:t>
            </w:r>
          </w:p>
        </w:tc>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香港地图→门店→楼层→仓位</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组合展示门店数、仓位总数、已租、预留、维修、禁用、到期及出租率；楼层可出租数＝总数－维修－禁用－不可出租。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地图和层级卡使用同一assetSnapshotId；点击区域、门店、楼层逐级过滤。仓位状态互斥，状态合计须等于层级总数。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C15 经营预警</w:t>
            </w:r>
          </w:p>
        </w:tc>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规则卡片</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预算超支、成交成本环比、出租率低于目标、口径异常、30天到期和SLA风险按配置阈值产生预警。</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每条预警返回ruleId、level、actual、threshold、dimension、detectedAt和detailUrl；数据源失败显示“数据异常”，不得生成业务零值预警。</w:t>
            </w:r>
          </w:p>
        </w:tc>
      </w:tr>
    </w:tbl>
    <w:p>
      <w:pPr>
        <w:spacing w:after="0"/>
      </w:pPr>
    </w:p>
    <w:p>
      <w:pPr>
        <w:pStyle w:val="Heading2"/>
      </w:pPr>
      <w:r>
        <w:t>3.4 筛选、联动与查询状态</w:t>
      </w:r>
    </w:p>
    <w:tbl>
      <w:tblPr>
        <w:tblStyle w:val="TableGrid"/>
        <w:tblW w:type="dxa" w:w="10224"/>
        <w:jc w:val="center"/>
        <w:tblLayout w:type="fixed"/>
        <w:tblLook w:firstColumn="1" w:firstRow="1" w:lastColumn="0" w:lastRow="0" w:noHBand="0" w:noVBand="1" w:val="04A0"/>
      </w:tblPr>
      <w:tblGrid>
        <w:gridCol w:w="2232"/>
        <w:gridCol w:w="799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能力</w:t>
            </w:r>
          </w:p>
        </w:tc>
        <w:tc>
          <w:tcPr>
            <w:tcW w:type="dxa" w:w="7992"/>
            <w:shd w:fill="17365D"/>
            <w:tcMar>
              <w:top w:w="75" w:type="dxa"/>
              <w:start w:w="100" w:type="dxa"/>
              <w:bottom w:w="75" w:type="dxa"/>
              <w:end w:w="100" w:type="dxa"/>
            </w:tcMar>
            <w:vAlign w:val="center"/>
          </w:tcPr>
          <w:p>
            <w:r>
              <w:rPr>
                <w:rFonts w:ascii="Calibri" w:hAnsi="Calibri" w:eastAsia="Microsoft YaHei"/>
                <w:b/>
                <w:color w:val="FFFFFF"/>
                <w:sz w:val="16"/>
              </w:rPr>
              <w:t>规则</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周期</w:t>
            </w:r>
          </w:p>
        </w:tc>
        <w:tc>
          <w:tcPr>
            <w:tcW w:type="dxa" w:w="79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默认本月；可选本周、本月、本季及自定义只读报告周期。切换周期时重算事件型指标，快照型指标取周期末或当前asOfTime。</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区域/门店</w:t>
            </w:r>
          </w:p>
        </w:tc>
        <w:tc>
          <w:tcPr>
            <w:tcW w:type="dxa" w:w="79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区域多选、门店多选；门店选项受区域及dataScope约束。地图选择与顶部筛选双向同步，并在页面显示当前作用范围。</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业务类型</w:t>
            </w:r>
          </w:p>
        </w:tc>
        <w:tc>
          <w:tcPr>
            <w:tcW w:type="dxa" w:w="79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全部、迷你仓、迷你箱；不适用该维度的组件保持显示并标记“不受业务类型筛选影响”，不得静默改变定义。</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跨组件联动</w:t>
            </w:r>
          </w:p>
        </w:tc>
        <w:tc>
          <w:tcPr>
            <w:tcW w:type="dxa" w:w="79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点击渠道、门店、季度、到期分段或工单状态，只增加临时维度筛选；页面提供面包屑和“清除联动”。切换主周期清除临时联动。</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下钻</w:t>
            </w:r>
          </w:p>
        </w:tc>
        <w:tc>
          <w:tcPr>
            <w:tcW w:type="dxa" w:w="79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detailUrl携带metricId、periodStart、periodEnd、asOfTime、dimensionFilters和metricVersion；目标列表显示口径摘要，返回时保留原筛选。</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加载/空态/失败</w:t>
            </w:r>
          </w:p>
        </w:tc>
        <w:tc>
          <w:tcPr>
            <w:tcW w:type="dxa" w:w="79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整页并行查询；组件单独骨架。合法零值显示0，零分母显示—，无权限显示受限，源失败显示错误及重试；其他组件继续可用。</w:t>
            </w:r>
          </w:p>
        </w:tc>
      </w:tr>
    </w:tbl>
    <w:p>
      <w:pPr>
        <w:spacing w:after="0"/>
      </w:pPr>
    </w:p>
    <w:p>
      <w:pPr>
        <w:pStyle w:val="Heading2"/>
      </w:pPr>
      <w:r>
        <w:t>3.5 数据来源与字段映射</w:t>
      </w:r>
    </w:p>
    <w:tbl>
      <w:tblPr>
        <w:tblStyle w:val="TableGrid"/>
        <w:tblW w:type="dxa" w:w="10224"/>
        <w:jc w:val="center"/>
        <w:tblLayout w:type="fixed"/>
        <w:tblLook w:firstColumn="1" w:firstRow="1" w:lastColumn="0" w:lastRow="0" w:noHBand="0" w:noVBand="1" w:val="04A0"/>
      </w:tblPr>
      <w:tblGrid>
        <w:gridCol w:w="1728"/>
        <w:gridCol w:w="2448"/>
        <w:gridCol w:w="3456"/>
        <w:gridCol w:w="2592"/>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数据域</w:t>
            </w:r>
          </w:p>
        </w:tc>
        <w:tc>
          <w:tcPr>
            <w:tcW w:type="dxa" w:w="2448"/>
            <w:shd w:fill="17365D"/>
            <w:tcMar>
              <w:top w:w="75" w:type="dxa"/>
              <w:start w:w="100" w:type="dxa"/>
              <w:bottom w:w="75" w:type="dxa"/>
              <w:end w:w="100" w:type="dxa"/>
            </w:tcMar>
            <w:vAlign w:val="center"/>
          </w:tcPr>
          <w:p>
            <w:r>
              <w:rPr>
                <w:rFonts w:ascii="Calibri" w:hAnsi="Calibri" w:eastAsia="Microsoft YaHei"/>
                <w:b/>
                <w:color w:val="FFFFFF"/>
                <w:sz w:val="15"/>
              </w:rPr>
              <w:t>事实对象</w:t>
            </w:r>
          </w:p>
        </w:tc>
        <w:tc>
          <w:tcPr>
            <w:tcW w:type="dxa" w:w="3456"/>
            <w:shd w:fill="17365D"/>
            <w:tcMar>
              <w:top w:w="75" w:type="dxa"/>
              <w:start w:w="100" w:type="dxa"/>
              <w:bottom w:w="75" w:type="dxa"/>
              <w:end w:w="100" w:type="dxa"/>
            </w:tcMar>
            <w:vAlign w:val="center"/>
          </w:tcPr>
          <w:p>
            <w:r>
              <w:rPr>
                <w:rFonts w:ascii="Calibri" w:hAnsi="Calibri" w:eastAsia="Microsoft YaHei"/>
                <w:b/>
                <w:color w:val="FFFFFF"/>
                <w:sz w:val="15"/>
              </w:rPr>
              <w:t>关键字段</w:t>
            </w:r>
          </w:p>
        </w:tc>
        <w:tc>
          <w:tcPr>
            <w:tcW w:type="dxa" w:w="2592"/>
            <w:shd w:fill="17365D"/>
            <w:tcMar>
              <w:top w:w="75" w:type="dxa"/>
              <w:start w:w="100" w:type="dxa"/>
              <w:bottom w:w="75" w:type="dxa"/>
              <w:end w:w="100" w:type="dxa"/>
            </w:tcMar>
            <w:vAlign w:val="center"/>
          </w:tcPr>
          <w:p>
            <w:r>
              <w:rPr>
                <w:rFonts w:ascii="Calibri" w:hAnsi="Calibri" w:eastAsia="Microsoft YaHei"/>
                <w:b/>
                <w:color w:val="FFFFFF"/>
                <w:sz w:val="15"/>
              </w:rPr>
              <w:t>用途与责任</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财务主域</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PaymentTransaction、Refund、CashExpense、FxRate</w:t>
            </w:r>
          </w:p>
        </w:tc>
        <w:tc>
          <w:tcPr>
            <w:tcW w:type="dxa" w:w="34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transactionId、amountMinor、currency、status、postedAt、storeId</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现金流、收入、营销支出；财务入账状态为唯一事实来源。</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销售主域</w:t>
            </w:r>
          </w:p>
        </w:tc>
        <w:tc>
          <w:tcPr>
            <w:tcW w:type="dxa" w:w="24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Lead、Contact、Appointment、SalesOrder</w:t>
            </w:r>
          </w:p>
        </w:tc>
        <w:tc>
          <w:tcPr>
            <w:tcW w:type="dxa" w:w="34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leadId、orderId、channel、businessType、signedAt、firstReceivableConfirmedAt</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成交、转化路径、渠道、订单构成；编号去重。</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合同续租域</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Contract、RenewalEvent</w:t>
            </w:r>
          </w:p>
        </w:tc>
        <w:tc>
          <w:tcPr>
            <w:tcW w:type="dxa" w:w="34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customerId、unitId、storeId、endDate、renewalEffectiveAt、status</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到期、续租率、续租时机；保留原合同归属。</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空间资产域</w:t>
            </w:r>
          </w:p>
        </w:tc>
        <w:tc>
          <w:tcPr>
            <w:tcW w:type="dxa" w:w="24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Store、Floor、StorageUnit、AssetSnapshot</w:t>
            </w:r>
          </w:p>
        </w:tc>
        <w:tc>
          <w:tcPr>
            <w:tcW w:type="dxa" w:w="34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area、volume、rentableFlag、occupancyStatus、snapshotId</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面积/容积出租率、门店效率、空间全景。</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迷你箱域</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BoxAsset、BoxPairing、BoxLocation</w:t>
            </w:r>
          </w:p>
        </w:tc>
        <w:tc>
          <w:tcPr>
            <w:tcW w:type="dxa" w:w="34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boxId、operableStatus、rentalStatus、latestStoreLocation</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迷你箱出租率与区域状态。</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工单域</w:t>
            </w:r>
          </w:p>
        </w:tc>
        <w:tc>
          <w:tcPr>
            <w:tcW w:type="dxa" w:w="24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Ticket、TicketSlaClock</w:t>
            </w:r>
          </w:p>
        </w:tc>
        <w:tc>
          <w:tcPr>
            <w:tcW w:type="dxa" w:w="34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ticketId、status、type、priority、slaDueAt、pauseIntervals</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开放工单、SLA风险、今日完成。</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客户主域</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Customer、CustomerProfile</w:t>
            </w:r>
          </w:p>
        </w:tc>
        <w:tc>
          <w:tcPr>
            <w:tcW w:type="dxa" w:w="34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customerId、createdAt、profileCompleteness、segmentFacts</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客户资产概览与分群。</w:t>
            </w:r>
          </w:p>
        </w:tc>
      </w:tr>
    </w:tbl>
    <w:p>
      <w:pPr>
        <w:spacing w:after="0"/>
      </w:pPr>
    </w:p>
    <w:p>
      <w:pPr>
        <w:pStyle w:val="Heading2"/>
      </w:pPr>
      <w:r>
        <w:t>3.6 接口返回与可追溯要求</w:t>
      </w:r>
    </w:p>
    <w:p>
      <w:pPr>
        <w:pStyle w:val="ListBullet"/>
      </w:pPr>
      <w:r>
        <w:t>每个指标或图表返回metricId、metricVersion、asOfTime、periodStart、periodEnd、timezone、numerator、denominator、value、unit、status和detailUrl</w:t>
      </w:r>
    </w:p>
    <w:p>
      <w:pPr>
        <w:pStyle w:val="ListBullet"/>
      </w:pPr>
      <w:r>
        <w:t>图表series返回dimensionCode、dimensionName、count或amountMinor、rawRate及displayRate；前端只格式化，不重新定义口径</w:t>
      </w:r>
    </w:p>
    <w:p>
      <w:pPr>
        <w:pStyle w:val="ListBullet"/>
      </w:pPr>
      <w:r>
        <w:t>报告生成时冻结metricVersion、筛选条件、源数据watermark和assetSnapshotId，历史报告不得随当前数据静默变化</w:t>
      </w:r>
    </w:p>
    <w:p>
      <w:pPr>
        <w:pStyle w:val="ListBullet"/>
      </w:pPr>
      <w:r>
        <w:t>组件状态支持SUCCESS、STALE、PARTIAL、FAILED、NO_PERMISSION；PARTIAL必须返回missingSources与影响说明</w:t>
      </w:r>
    </w:p>
    <w:p>
      <w:pPr>
        <w:pStyle w:val="Heading2"/>
      </w:pPr>
      <w:r>
        <w:t>3.7 口径验收与对账示例</w:t>
      </w:r>
    </w:p>
    <w:tbl>
      <w:tblPr>
        <w:tblStyle w:val="TableGrid"/>
        <w:tblW w:type="dxa" w:w="10224"/>
        <w:jc w:val="center"/>
        <w:tblLayout w:type="fixed"/>
        <w:tblLook w:firstColumn="1" w:firstRow="1" w:lastColumn="0" w:lastRow="0" w:noHBand="0" w:noVBand="1" w:val="04A0"/>
      </w:tblPr>
      <w:tblGrid>
        <w:gridCol w:w="2160"/>
        <w:gridCol w:w="3816"/>
        <w:gridCol w:w="4248"/>
      </w:tblGrid>
      <w:tr>
        <w:trPr>
          <w:tblHeader/>
        </w:trPr>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验收项</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6"/>
              </w:rPr>
              <w:t>输入</w:t>
            </w:r>
          </w:p>
        </w:tc>
        <w:tc>
          <w:tcPr>
            <w:tcW w:type="dxa" w:w="4248"/>
            <w:shd w:fill="17365D"/>
            <w:tcMar>
              <w:top w:w="75" w:type="dxa"/>
              <w:start w:w="100" w:type="dxa"/>
              <w:bottom w:w="75" w:type="dxa"/>
              <w:end w:w="100" w:type="dxa"/>
            </w:tcMar>
            <w:vAlign w:val="center"/>
          </w:tcPr>
          <w:p>
            <w:r>
              <w:rPr>
                <w:rFonts w:ascii="Calibri" w:hAnsi="Calibri" w:eastAsia="Microsoft YaHei"/>
                <w:b/>
                <w:color w:val="FFFFFF"/>
                <w:sz w:val="16"/>
              </w:rPr>
              <w:t>预期结果</w:t>
            </w:r>
          </w:p>
        </w:tc>
      </w:tr>
      <w:tr>
        <w:trPr>
          <w:cantSplit/>
        </w:trPr>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成交转化率</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有效线索317，归因成交84</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84÷317＝26.4984%，卡片显示26.5%，明细成交leadId去重后为84。</w:t>
            </w:r>
          </w:p>
        </w:tc>
      </w:tr>
      <w:tr>
        <w:trPr>
          <w:cantSplit/>
        </w:trPr>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面积目标偏差</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面积出租率86.84%，目标85.00%</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显示高于目标1.84pp，不得显示“增长2.16%”。</w:t>
            </w:r>
          </w:p>
        </w:tc>
      </w:tr>
      <w:tr>
        <w:trPr>
          <w:cantSplit/>
        </w:trPr>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迷你箱出租率</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在租699，空闲751，维修/禁用不在分母</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699÷(699＋751)＝48.2069%，显示48.21%；区域在租与空闲分别汇总为699和751。</w:t>
            </w:r>
          </w:p>
        </w:tc>
      </w:tr>
      <w:tr>
        <w:trPr>
          <w:cantSplit/>
        </w:trPr>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营销预算</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预算120,000，余额18,226</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支出101,774，执行率84.8117%，显示84.8%；支出明细合计等于101,774.00。</w:t>
            </w:r>
          </w:p>
        </w:tc>
      </w:tr>
      <w:tr>
        <w:trPr>
          <w:cantSplit/>
        </w:trPr>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到期分段</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1–7天40、8–14天45、15–30天70</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总数155；三个分段互斥，下钻去重unitId合计必须等于K06。</w:t>
            </w:r>
          </w:p>
        </w:tc>
      </w:tr>
      <w:tr>
        <w:trPr>
          <w:cantSplit/>
        </w:trPr>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零分母</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某门店本期符合续租条件客户0</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renewalRate=null、reasonCode=ZERO_DENOMINATOR，页面显示—，不参与门店高低排名。</w:t>
            </w:r>
          </w:p>
        </w:tc>
      </w:tr>
      <w:tr>
        <w:trPr>
          <w:cantSplit/>
        </w:trPr>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数据源失败</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财务聚合超时，资产与工单成功</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现金流/收入组件显示FAILED及最后成功时间；出租率和工单正常展示，现金流不得显示HK$0。</w:t>
            </w:r>
          </w:p>
        </w:tc>
      </w:tr>
    </w:tbl>
    <w:p>
      <w:pPr>
        <w:spacing w:after="0"/>
      </w:pPr>
    </w:p>
    <w:p>
      <w:pPr>
        <w:pStyle w:val="Heading1"/>
      </w:pPr>
      <w:r>
        <w:t>4 数据返回字段规格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指标名称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OS-OPS-PRD-01-L02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当前值</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统计周期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OS-OPS-PRD-01-L04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同比或环比</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目标值</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OS-OPS-PRD-01-L06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偏差</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数据更新时间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OS-OPS-PRD-01-L08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统计口径</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下钻入口</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bl>
    <w:p>
      <w:pPr>
        <w:spacing w:after="0"/>
      </w:pPr>
    </w:p>
    <w:p>
      <w:pPr>
        <w:pStyle w:val="Heading1"/>
      </w:pPr>
      <w:r>
        <w:t>5 报告生成参数</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OS-OPS-PRD-01-F01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统计周期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OS-OPS-PRD-01-F02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区域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OS-OPS-PRD-01-F03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店铺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OS-OPS-PRD-01-F04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业务类型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OS-OPS-PRD-01-F05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对比周期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OS-OPS-PRD-01-F06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报告格式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OS-OPS-PRD-01-F07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接收邮箱</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邮箱输入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格式校验并转小写保存检索值。</w:t>
            </w:r>
          </w:p>
        </w:tc>
      </w:tr>
    </w:tbl>
    <w:p>
      <w:pPr>
        <w:spacing w:after="0"/>
      </w:pPr>
    </w:p>
    <w:p>
      <w:pPr>
        <w:pStyle w:val="ListBullet"/>
      </w:pPr>
      <w:r>
        <w:t>报告生成使用当前筛选、asOfTime和metricVersion，生成后不可静默改写</w:t>
      </w:r>
    </w:p>
    <w:p>
      <w:pPr>
        <w:pStyle w:val="ListBullet"/>
      </w:pPr>
      <w:r>
        <w:t>接收邮箱仅允许组织通讯录中的获授权地址；报告下载和邮件发送记录审计</w:t>
      </w:r>
    </w:p>
    <w:p>
      <w:pPr>
        <w:pStyle w:val="ListBullet"/>
      </w:pPr>
      <w:r>
        <w:t>生成前如存在FAILED组件必须阻止生成，存在STALE或PARTIAL组件须二次确认并在报告显著标注</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切换统计周期</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选择本周、本月或本季；所有卡片、图表和列表使用同一时间范围并显示截止时间。</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OS-OPS-PRD-01-FP02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指标口径说明</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点击问号展示分子、分母、排除项、时间口径和数据源，口径版本随报告归档。</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指标下钻</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点击成交、到期、续租、工单或仓位指标，携带当前筛选跳转到对应模块。</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OS-OPS-PRD-01-FP04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生成报告</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校验数据计算状态后生成带口径版本的报告；失败时保留任务编号并允许重试。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OS-OPS-PRD-01-FP05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地图与门店下钻</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选择门店标记后展示仓位总数、已租、到期风险及门店详情入口。</w:t>
            </w:r>
          </w:p>
        </w:tc>
      </w:tr>
    </w:tbl>
    <w:p>
      <w:pPr>
        <w:spacing w:after="0"/>
      </w:pPr>
    </w:p>
    <w:p>
      <w:pPr>
        <w:pStyle w:val="Heading2"/>
      </w:pPr>
      <w:r>
        <w:t>6.1 切换统计周期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OS-OPS-PRD-01-FP01。功能目的为选择本周、本月或本季；所有卡片、图表和列表使用同一时间范围并显示截止时间。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从卡片、列表或关联编号进入，加载店铺、数据更新时间及时间线；切换页签或筛选不改变主对象，返回时保留来源页条件。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/ops/v1/dashboard；返回version、关联对象、时间线和allowedActions。选择本周、本月或本季；所有卡片、图表和列表使用同一时间范围并显示截止时间。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界面完成切换统计周期并显示最新数据、截止时间、关联对象和允许操作；查询本身不改变业务状态。涉及敏感原文查看时单独记录访问审计。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小程序成交、付款、退租和续租结果通过领域事件更新经营指标。跨端消息只携带业务编号，接收端打开后重新鉴权并查询最新状态。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切换统计周期只返回dataScope内且按权限脱敏的数据；刷新前后无业务写入，筛选、详情和导出对同一对象的字段值一致。</w:t>
      </w:r>
    </w:p>
    <w:p>
      <w:pPr>
        <w:pStyle w:val="Heading2"/>
      </w:pPr>
      <w:r>
        <w:t>6.2 指标口径说明</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OS-OPS-PRD-01-FP02。功能目的为点击问号展示分子、分母、排除项、时间口径和数据源，口径版本随报告归档。</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在详情页执行指标口径说明，填写或核对店铺、数据更新时间；界面随步骤显示当前节点、下一步和可撤回条件。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/ops/v1/dashboard/{id}/actions/{action}，校验权限、当前状态、expectedVersion和业务不变量，在事务中写入状态及时间线。点击问号展示分子、分母、排除项、时间口径和数据源，口径版本随报告归档。</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指标必须显示数据截止时间，禁止把缓存时间写成业务发生时间；下钻结果总数必须能与指标口径解释一致；部分数据源失败时明确标记受影响指标，不显示为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页面提示“指标口径说明成功”，刷新对象状态、version、allowedActions、关联对象和时间线；如产生异步任务，同时显示任务编号和进度入口。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工单小程序的接单、签到、完成和退回更新SLA统计。跨端消息只携带业务编号，接收端打开后重新鉴权并查询最新状态。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在允许状态下完成指标口径说明时仅产生一次预期数据变化和一次审计记录；越权、错误状态、重复提交及版本冲突均不得产生重复对象或越级状态。</w:t>
      </w:r>
    </w:p>
    <w:p>
      <w:pPr>
        <w:pStyle w:val="Heading2"/>
      </w:pPr>
      <w:r>
        <w:t>6.3 指标下钻</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OS-OPS-PRD-01-FP03。功能目的为点击成交、到期、续租、工单或仓位指标，携带当前筛选跳转到对应模块。</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从卡片、列表或关联编号进入，加载店铺、数据更新时间及时间线；切换页签或筛选不改变主对象，返回时保留来源页条件。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/ops/v1/dashboard；返回version、关联对象、时间线和allowedActions。点击成交、到期、续租、工单或仓位指标，携带当前筛选跳转到对应模块。</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指标必须显示数据截止时间，禁止把缓存时间写成业务发生时间；下钻结果总数必须能与指标口径解释一致；部分数据源失败时明确标记受影响指标，不显示为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界面完成指标下钻并显示最新数据、截止时间、关联对象和允许操作；查询本身不改变业务状态。涉及敏感原文查看时单独记录访问审计。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任何跨端事件延迟不改变详情主数据，用户下钻时回源查询。跨端消息只携带业务编号，接收端打开后重新鉴权并查询最新状态。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指标下钻只返回dataScope内且按权限脱敏的数据；刷新前后无业务写入，筛选、详情和导出对同一对象的字段值一致。</w:t>
      </w:r>
    </w:p>
    <w:p>
      <w:pPr>
        <w:pStyle w:val="Heading2"/>
      </w:pPr>
      <w:r>
        <w:t>6.4 生成报告</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OS-OPS-PRD-01-FP04。功能目的为校验数据计算状态后生成带口径版本的报告；失败时保留任务编号并允许重试。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统计周期、区域、店铺、业务类型、对比周期、报告格式、接收邮箱、指标名称、当前值、同比或环比、目标值、偏差；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服务端使用clientRequestId幂等校验，在事务内生成业务编号、主对象、初始状态和审计记录；事务提交后发布领域事件。校验数据计算状态后生成带口径版本的报告；失败时保留任务编号并允许重试。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指标必须显示数据截止时间，禁止把缓存时间写成业务发生时间；现金流、收入、订单和出租率分别使用财务、订单和资产主域数据。所有校验必须由服务端再次执行，前端校验只用于即时反馈。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页面提示“生成报告成功”，刷新对象状态、version、allowedActions、关联对象和时间线；如产生异步任务，同时显示任务编号和进度入口。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小程序成交、付款、退租和续租结果通过领域事件更新经营指标。跨端消息只携带业务编号，接收端打开后重新鉴权并查询最新状态。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在允许状态下完成生成报告时仅产生一次预期数据变化和一次审计记录；越权、错误状态、重复提交及版本冲突均不得产生重复对象或越级状态。</w:t>
      </w:r>
    </w:p>
    <w:p>
      <w:pPr>
        <w:pStyle w:val="Heading2"/>
      </w:pPr>
      <w:r>
        <w:t>6.5 地图与门店下钻</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OS-OPS-PRD-01-FP05。功能目的为选择门店标记后展示仓位总数、已租、到期风险及门店详情入口。</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从卡片、列表或关联编号进入，加载店铺、数据更新时间及时间线；切换页签或筛选不改变主对象，返回时保留来源页条件。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/ops/v1/dashboard；返回version、关联对象、时间线和allowedActions。选择门店标记后展示仓位总数、已租、到期风险及门店详情入口。</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下钻结果总数必须能与指标口径解释一致。所有校验必须由服务端再次执行，前端校验只用于即时反馈。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界面完成地图与门店下钻并显示最新数据、截止时间、关联对象和允许操作；查询本身不改变业务状态。涉及敏感原文查看时单独记录访问审计。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工单小程序的接单、签到、完成和退回更新SLA统计。跨端消息只携带业务编号，接收端打开后重新鉴权并查询最新状态。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地图与门店下钻只返回dataScope内且按权限脱敏的数据；刷新前后无业务写入，筛选、详情和导出对同一对象的字段值一致。</w:t>
      </w:r>
    </w:p>
    <w:p>
      <w:pPr>
        <w:pStyle w:val="Heading2"/>
      </w:pPr>
      <w:r>
        <w:t>6.6 查询与报告生成时序</w:t>
      </w:r>
    </w:p>
    <w:p>
      <w:pPr>
        <w:pStyle w:val="ListBullet"/>
      </w:pPr>
      <w:r>
        <w:t>前端提交周期、asOfTime、区域、门店、业务类型和当前dataScope</w:t>
      </w:r>
    </w:p>
    <w:p>
      <w:pPr>
        <w:pStyle w:val="ListBullet"/>
      </w:pPr>
      <w:r>
        <w:t>聚合服务并行查询指标组件，每个组件返回独立状态、watermark和metricVersion</w:t>
      </w:r>
    </w:p>
    <w:p>
      <w:pPr>
        <w:pStyle w:val="ListBullet"/>
      </w:pPr>
      <w:r>
        <w:t>前端按组件渲染成功、过期、部分成功、失败或无权限状态，并显示全页最晚截止时间</w:t>
      </w:r>
    </w:p>
    <w:p>
      <w:pPr>
        <w:pStyle w:val="ListBullet"/>
      </w:pPr>
      <w:r>
        <w:t>用户点击下钻时携带原筛选及metricVersion，目标模块按同一规则查询并显示口径摘要</w:t>
      </w:r>
    </w:p>
    <w:p>
      <w:pPr>
        <w:pStyle w:val="ListBullet"/>
      </w:pPr>
      <w:r>
        <w:t>生成报告先冻结筛选、watermark与assetSnapshotId；任务完成后返回不可变reportId和下载地址</w:t>
      </w:r>
    </w:p>
    <w:p>
      <w:pPr>
        <w:pStyle w:val="ListBullet"/>
      </w:pPr>
      <w:r>
        <w:t>报告生成重试沿用clientRequestId；相同请求不得生成内容不同但编号相同的报告</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运营总览</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正常→关注→预警；数据任务：计算中→成功/部分成功/失败</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指标必须显示数据截止时间，禁止把缓存时间写成业务发生时间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现金流、收入、订单和出租率分别使用财务、订单和资产主域数据</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下钻结果总数必须能与指标口径解释一致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部分数据源失败时明确标记受影响指标，不显示为零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小程序成交、付款、退租和续租结果通过领域事件更新经营指标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工单小程序的接单、签到、完成和退回更新SLA统计</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任何跨端事件延迟不改变详情主数据，用户下钻时回源查询</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总览查询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/ops/v1/dashboard/summary</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筛选、dataScope、asOfTime、metricVersion及各组件独立状态</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图表查询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/ops/v1/dashboard/charts/{metricId}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维度序列、原始分子分母、快照或watermark、下钻地址</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指标下钻</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/ops/v1/dashboard/drilldowns/{metricId}</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复用指标口径，分页明细总数必须可解释性对账</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生成报告</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POST /ops/v1/dashboard/reports</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clientRequestId幂等；冻结筛选、metricVersion、watermark和快照</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报告任务</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/ops/v1/dashboard/reports/{reportId}</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状态、部分数据声明、失败原因和短期签名下载地址</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指标失效事件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DashboardMetric.Invalidated.v1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eventId、metricIds、dimensions、occurredAt；用于定向刷新缓存</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K01至K09均返回明确分子、分母、时间锚点、排除项、metricVersion和数据截止时间。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C01至C15按本文档维度和公式计算；区域、门店、周期联动后不得通过平均汇总率。</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84÷317显示26.5%，699÷1450显示48.21%，86.84%相对85%显示+1.84pp。</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到期三个区间互斥且合计等于30天到期卡；门店、区域和全局汇总可逐层对账。</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零分母显示—且返回ZERO_DENOMINATOR；合法零值显示0；数据源失败不显示为0。</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下钻请求携带原周期、asOfTime、维度筛选和metricVersion，明细数量与指标口径一致。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当前周期对比使用上一可比周期相同已过时长；退款和冲正进入实际完成周期。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财务、销售、资产、续租、工单和客户任一数据源超SLA时，仅受影响组件降级并显示最后成功时间。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OS-OPS-PRD-01-AC09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报告冻结筛选、metricVersion、watermark和assetSnapshotId，重复下载内容哈希一致。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OS-OPS-PRD-01-AC10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权限、dataScope、敏感明细脱敏和导出审计覆盖总览、下钻与报告下载。</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OS-OPS-PRD-01  |  运营总览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