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退租管理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OS-OPS-PRD-15  |  V2.2  |  2026-09-09</w:t>
      </w:r>
    </w:p>
    <w:p>
      <w:pPr>
        <w:spacing w:before="1440"/>
        <w:jc w:val="center"/>
      </w:pPr>
      <w:r>
        <w:rPr>
          <w:rFonts w:ascii="Calibri" w:hAnsi="Calibri" w:eastAsia="Microsoft YaHei"/>
          <w:b w:val="0"/>
          <w:color w:val="1F2937"/>
          <w:sz w:val="22"/>
        </w:rPr>
        <w:t>处理退租申请、查仓、费用结算、按金退款、清仓和退租文件。</w:t>
      </w:r>
    </w:p>
    <w:p>
      <w:r>
        <w:br w:type="page"/>
      </w:r>
    </w:p>
    <w:p>
      <w:pPr>
        <w:pStyle w:val="Heading1"/>
      </w:pPr>
      <w:r>
        <w:t>1 文档目标与范围</w:t>
      </w:r>
    </w:p>
    <w:p>
      <w:r>
        <w:t>处理退租申请、查仓、费用结算、按金退款、清仓和退租文件。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OS-OPS-PRD-15</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V2.2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ops-15-checkout.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图 2-1  退租管理列表与处理入口</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OS-OPS-PRD-15-FP01 新增退租申请；OS-OPS-PRD-15-FP02 安排查仓；OS-OPS-PRD-15-FP03 提交结算；OS-OPS-PRD-15-FP04 审批退款；OS-OPS-PRD-15-FP05 完成退租</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退租管理列表与处理入口由查询条件、结果列表、状态标识、行级操作和分页区组成。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查询条件可组合、重置并在返回时保留；列表与导出共用同一数据范围；按钮依据权限、状态和allowedActions显示。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退租编号、订单、客户或仓位</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退租状态</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店铺</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退租日期</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退款状态</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OS-OPS-PRD-15-L01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退租编号</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OS-OPS-PRD-15-L02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关联订单</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显示订单编号并支持在有权限时跳转。</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OS-OPS-PRD-15-L03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正式编号</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OS-OPS-PRD-15-L04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发票编号</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OS-OPS-PRD-15-L05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客户编号</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OS-OPS-PRD-15-L06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退租日期</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服务端时间</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按Asia/Hong_Kong显示；空值显示—，排序使用原始时间。</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OS-OPS-PRD-15-L07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退租状态</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服务端枚举</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以标签显示；筛选、导出和详情使用同一枚举文案。</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OS-OPS-PRD-15-L08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仓位</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OS-OPS-PRD-15-L09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仓位到期日</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服务端时间</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按Asia/Hong_Kong显示；空值显示—，排序使用原始时间。</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OS-OPS-PRD-15-L10</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按金</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财务或报价主域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显示币种和两位小数；不得用格式化字符串参与计算。</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OS-OPS-PRD-15-L11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会计付款数目</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OS-OPS-PRD-15-L12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退租文件</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文件服务</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显示文件名、版本和状态；查看下载需权限并记录审计。</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OS-OPS-PRD-15-L13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操作</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根据allowedActions显示查看、编辑及状态动作；后端再次鉴权。</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OS-OPS-PRD-15-F01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关联订单</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OS-OPS-PRD-15-F02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客户</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OS-OPS-PRD-15-F03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仓位</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OS-OPS-PRD-15-F04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申请日期</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OS-OPS-PRD-15-F05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计划退租日期</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OS-OPS-PRD-15-F06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退租原因</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最多500字；拒绝或异常原因不得只输入空白。</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OS-OPS-PRD-15-F07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查仓时间</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OS-OPS-PRD-15-F08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查仓负责人</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OS-OPS-PRD-15-F09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清仓情况</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OS-OPS-PRD-15-F10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损坏费用</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OS-OPS-PRD-15-F11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欠费</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OS-OPS-PRD-15-F12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其他扣款</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OS-OPS-PRD-15-F13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应退按金</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OS-OPS-PRD-15-F14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退款方式</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OS-OPS-PRD-15-F15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收款账户</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OS-OPS-PRD-15-F16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退租文件</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文件上传</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使用短期签名上传，校验类型、大小、哈希和病毒扫描结果。</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OS-OPS-PRD-15-F17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备注</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最多500字；拒绝或异常原因不得只输入空白。</w:t>
            </w:r>
          </w:p>
        </w:tc>
      </w:tr>
    </w:tbl>
    <w:p>
      <w:pPr>
        <w:spacing w:after="0"/>
      </w:pPr>
    </w:p>
    <w:p>
      <w:pPr>
        <w:pStyle w:val="ListBullet"/>
      </w:pPr>
      <w:r>
        <w:t>首次打开新增表单使用服务端默认值；编辑表单显示当前version</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OS-OPS-PRD-15-FP01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新增退租申请</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校验租约、通知期和未结费用。</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OS-OPS-PRD-15-FP02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安排查仓</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创建工单并记录时间、负责人和检查清单。</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OS-OPS-PRD-15-FP03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提交结算</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计算按金、欠费、损坏和其他扣款，生成结算版本。</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OS-OPS-PRD-15-FP04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审批退款</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客户确认结算后进入财务审批。</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OS-OPS-PRD-15-FP05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完成退租</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退款结果明确且清仓完成后释放仓位并归档文件。</w:t>
            </w:r>
          </w:p>
        </w:tc>
      </w:tr>
    </w:tbl>
    <w:p>
      <w:pPr>
        <w:spacing w:after="0"/>
      </w:pPr>
    </w:p>
    <w:p>
      <w:pPr>
        <w:pStyle w:val="Heading2"/>
      </w:pPr>
      <w:r>
        <w:t>6.1 新增退租申请</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OS-OPS-PRD-15-FP01。功能目的为校验租约、通知期和未结费用。</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用户登录有效并具备创建或批量权限；关联主数据有效且属于dataScope；页面已加载最新字典、业务配置和allowedActions。</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关联订单、客户、仓位、申请日期、计划退租日期、退租原因、查仓时间、查仓负责人、清仓情况、损坏费用、欠费、其他扣款；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服务端使用clientRequestId幂等校验，在事务内生成业务编号、主对象、初始状态和审计记录；事务提交后发布领域事件。校验租约、通知期和未结费用。</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退租日期不得早于允许的最早退租日。所有校验必须由服务端再次执行，前端校验只用于即时反馈。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页面提示“新增退租申请成功”，刷新对象状态、version、allowedActions、关联对象和时间线；如产生异步任务，同时显示任务编号和进度入口。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客户小程序提交本人退租申请和收款资料。跨端消息只携带业务编号，接收端打开后重新鉴权并查询最新状态。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在允许状态下完成新增退租申请时仅产生一次预期数据变化和一次审计记录；越权、错误状态、重复提交及版本冲突均不得产生重复对象或越级状态。</w:t>
      </w:r>
    </w:p>
    <w:p>
      <w:pPr>
        <w:pStyle w:val="Heading2"/>
      </w:pPr>
      <w:r>
        <w:t>6.2 安排查仓</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OS-OPS-PRD-15-FP02。功能目的为创建工单并记录时间、负责人和检查清单。</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在详情页执行安排查仓，填写或核对关联订单、客户、申请日期、计划退租日期、退租原因、查仓时间、查仓负责人、备注、退租编号、正式编号；界面随步骤显示当前节点、下一步和可撤回条件。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/ops/v1/checkouts/{id}/actions/{action}，校验权限、当前状态、expectedVersion和业务不变量，在事务中写入状态及时间线。创建工单并记录时间、负责人和检查清单。</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退租日期不得早于允许的最早退租日；结算金额=按金-欠费-损坏费-其他扣款。所有校验必须由服务端再次执行，前端校验只用于即时反馈。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页面提示“安排查仓成功”，刷新对象状态、version、allowedActions、关联对象和时间线；如产生异步任务，同时显示任务编号和进度入口。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工单小程序执行查仓并上传照片。跨端消息只携带业务编号，接收端打开后重新鉴权并查询最新状态。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在允许状态下完成安排查仓时仅产生一次预期数据变化和一次审计记录；越权、错误状态、重复提交及版本冲突均不得产生重复对象或越级状态。</w:t>
      </w:r>
    </w:p>
    <w:p>
      <w:pPr>
        <w:pStyle w:val="Heading2"/>
      </w:pPr>
      <w:r>
        <w:t>6.3 提交结算</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OS-OPS-PRD-15-FP03。功能目的为计算按金、欠费、损坏和其他扣款，生成结算版本。</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具备审批、财务或复核权限的人员；从待办中心、列表行操作或详情页审批区进入。入口显示前先校验菜单权限、动作权限和数据范围。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详情页展示申请信息、金额/附件、历史意见及关联订单、客户、申请日期、计划退租日期、退租原因、查仓时间、查仓负责人、备注、退租编号、正式编号；选择通过或拒绝，拒绝原因必填，提交前二次确认。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/ops/v1/checkouts/{id}/actions/{action}，校验权限、当前状态、expectedVersion和业务不变量，在事务中写入状态及时间线。计算按金、欠费、损坏和其他扣款，生成结算版本。</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结算金额=按金-欠费-损坏费-其他扣款。所有校验必须由服务端再次执行，前端校验只用于即时反馈。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页面提示“提交结算成功”，刷新对象状态、version、allowedActions、关联对象和时间线；如产生异步任务，同时显示任务编号和进度入口。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后台结算需客户确认，退款和完成状态同步小程序。跨端消息只携带业务编号，接收端打开后重新鉴权并查询最新状态。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在允许状态下完成提交结算时仅产生一次预期数据变化和一次审计记录；越权、错误状态、重复提交及版本冲突均不得产生重复对象或越级状态。</w:t>
      </w:r>
    </w:p>
    <w:p>
      <w:pPr>
        <w:pStyle w:val="Heading2"/>
      </w:pPr>
      <w:r>
        <w:t>6.4 审批退款</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OS-OPS-PRD-15-FP04。功能目的为客户确认结算后进入财务审批。</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具备审批、财务或复核权限的人员；从待办中心、列表行操作或详情页审批区进入。入口显示前先校验菜单权限、动作权限和数据范围。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详情页展示申请信息、金额/附件、历史意见及关联订单、客户、申请日期、计划退租日期、退租原因、查仓时间、查仓负责人、备注、退租编号、正式编号；选择通过或拒绝，拒绝原因必填，提交前二次确认。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/ops/v1/checkouts/{id}/actions/{action}，校验权限、当前状态、expectedVersion和业务不变量，在事务中写入状态及时间线。客户确认结算后进入财务审批。</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退款使用独立付款记录且不可直接改原收款。所有校验必须由服务端再次执行，前端校验只用于即时反馈。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页面提示“审批退款成功”，刷新对象状态、version、allowedActions、关联对象和时间线；如产生异步任务，同时显示任务编号和进度入口。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客户小程序提交本人退租申请和收款资料。跨端消息只携带业务编号，接收端打开后重新鉴权并查询最新状态。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在允许状态下完成审批退款时仅产生一次预期数据变化和一次审计记录；越权、错误状态、重复提交及版本冲突均不得产生重复对象或越级状态。</w:t>
      </w:r>
    </w:p>
    <w:p>
      <w:pPr>
        <w:pStyle w:val="Heading2"/>
      </w:pPr>
      <w:r>
        <w:t>6.5 完成退租</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OS-OPS-PRD-15-FP05。功能目的为退款结果明确且清仓完成后释放仓位并归档文件。</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在详情页执行完成退租，填写或核对关联订单、客户、申请日期、计划退租日期、退租原因、查仓时间、查仓负责人、备注、退租编号、正式编号；界面随步骤显示当前节点、下一步和可撤回条件。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/ops/v1/checkouts/{id}/actions/{action}，校验权限、当前状态、expectedVersion和业务不变量，在事务中写入状态及时间线。退款结果明确且清仓完成后释放仓位并归档文件。</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退租日期不得早于允许的最早退租日。所有校验必须由服务端再次执行，前端校验只用于即时反馈。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页面提示“完成退租成功”，刷新对象状态、version、allowedActions、关联对象和时间线；如产生异步任务，同时显示任务编号和进度入口。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工单小程序执行查仓并上传照片。跨端消息只携带业务编号，接收端打开后重新鉴权并查询最新状态。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在允许状态下完成完成退租时仅产生一次预期数据变化和一次审计记录；越权、错误状态、重复提交及版本冲突均不得产生重复对象或越级状态。</w:t>
      </w:r>
    </w:p>
    <w:p>
      <w:pPr>
        <w:pStyle w:val="Heading2"/>
      </w:pPr>
      <w:r>
        <w:t>6.6 标准写操作时序</w:t>
      </w:r>
    </w:p>
    <w:p>
      <w:pPr>
        <w:pStyle w:val="ListBullet"/>
      </w:pPr>
      <w:r>
        <w:t>用户触发操作后，前端先校验可见字段和附件状态</w:t>
      </w:r>
    </w:p>
    <w:p>
      <w:pPr>
        <w:pStyle w:val="ListBullet"/>
      </w:pPr>
      <w:r>
        <w:t>提交clientRequestId、expectedVersion和业务参数</w:t>
      </w:r>
    </w:p>
    <w:p>
      <w:pPr>
        <w:pStyle w:val="ListBullet"/>
      </w:pPr>
      <w:r>
        <w:t>服务端校验身份、权限、数据范围、对象状态和业务不变量</w:t>
      </w:r>
    </w:p>
    <w:p>
      <w:pPr>
        <w:pStyle w:val="ListBullet"/>
      </w:pPr>
      <w:r>
        <w:t>事务提交后返回业务编号、version、状态、allowedActions和副作用任务编号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退租管理</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已申请→待确认→待查仓→待结算→待退款→已退租；可进入驳回/取消/异常</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OS-OPS-PRD-15-R01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退租日期不得早于允许的最早退租日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OS-OPS-PRD-15-R02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结算金额=按金-欠费-损坏费-其他扣款</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OS-OPS-PRD-15-R03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扣款必须有依据和附件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OS-OPS-PRD-15-R04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退款使用独立付款记录且不可直接改原收款</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OS-OPS-PRD-15-R05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仓位只在清仓确认后释放</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OS-OPS-PRD-15-R06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所有写请求携带clientRequestId和expectedVersion，重复请求返回首次结果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OS-OPS-PRD-15-R07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服务端返回allowedActions，前端仅据此展示按钮，后端仍逐动作鉴权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OS-OPS-PRD-15-R08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OS-OPS-PRD-15-R09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OS-OPS-PRD-15-R10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BPMN流程与节点责任</w:t>
      </w:r>
    </w:p>
    <w:tbl>
      <w:tblPr>
        <w:tblStyle w:val="TableGrid"/>
        <w:tblW w:type="dxa" w:w="10656"/>
        <w:jc w:val="center"/>
        <w:tblLayout w:type="fixed"/>
        <w:tblLook w:firstColumn="1" w:firstRow="1" w:lastColumn="0" w:lastRow="0" w:noHBand="0" w:noVBand="1" w:val="04A0"/>
      </w:tblPr>
      <w:tblGrid>
        <w:gridCol w:w="2232"/>
        <w:gridCol w:w="4752"/>
        <w:gridCol w:w="3672"/>
      </w:tblGrid>
      <w:tr>
        <w:trPr>
          <w:tblHeader/>
        </w:trPr>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泳道</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6"/>
              </w:rPr>
              <w:t>节点责任</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输出</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客户小程序或AIWA</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提交申请、确认方案、签署或补充资料</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clientRequestId、客户确认和附件</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运营后台</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校验、受理、分派、审批、状态推进和异常处理</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业务编号、状态、allowedActions和审计</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工单小程序或执行团队</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接单、签到、扫码、处理和上报</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节点时间、位置、照片和处理结果</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领域服务与第三方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事务、库存、付款、签约、物流和通知</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回调、事件、重试任务和最终结果</w:t>
            </w:r>
          </w:p>
        </w:tc>
      </w:tr>
    </w:tbl>
    <w:p>
      <w:pPr>
        <w:spacing w:after="0"/>
      </w:pPr>
    </w:p>
    <w:p>
      <w:pPr>
        <w:jc w:val="center"/>
      </w:pPr>
      <w:r>
        <w:drawing>
          <wp:inline xmlns:a="http://schemas.openxmlformats.org/drawingml/2006/main" xmlns:pic="http://schemas.openxmlformats.org/drawingml/2006/picture">
            <wp:extent cx="6080760" cy="3478195"/>
            <wp:docPr id="2" name="Picture 2"/>
            <wp:cNvGraphicFramePr>
              <a:graphicFrameLocks noChangeAspect="1"/>
            </wp:cNvGraphicFramePr>
            <a:graphic>
              <a:graphicData uri="http://schemas.openxmlformats.org/drawingml/2006/picture">
                <pic:pic>
                  <pic:nvPicPr>
                    <pic:cNvPr id="0" name="15-675cd04f-0-1.png"/>
                    <pic:cNvPicPr/>
                  </pic:nvPicPr>
                  <pic:blipFill>
                    <a:blip r:embed="rId12"/>
                    <a:stretch>
                      <a:fillRect/>
                    </a:stretch>
                  </pic:blipFill>
                  <pic:spPr>
                    <a:xfrm>
                      <a:off x="0" y="0"/>
                      <a:ext cx="6080760" cy="3478195"/>
                    </a:xfrm>
                    <a:prstGeom prst="rect"/>
                  </pic:spPr>
                </pic:pic>
              </a:graphicData>
            </a:graphic>
          </wp:inline>
        </w:drawing>
      </w:r>
    </w:p>
    <w:p>
      <w:pPr>
        <w:jc w:val="center"/>
      </w:pPr>
      <w:r>
        <w:rPr>
          <w:rFonts w:ascii="Calibri" w:hAnsi="Calibri" w:eastAsia="Microsoft YaHei"/>
          <w:b w:val="0"/>
          <w:color w:val="667085"/>
          <w:sz w:val="17"/>
        </w:rPr>
        <w:t>图 8-1  退租管理业务流程</w:t>
      </w:r>
    </w:p>
    <w:p>
      <w:r>
        <w:t>可编辑BPMN源文件：requirements/bpmn/退租.bpmn。流程分支、异常补偿和人工复核必须与本文档状态机保持一致。</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OS-OPS-PRD-15-X01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客户小程序提交本人退租申请和收款资料</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OS-OPS-PRD-15-X02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工单小程序执行查仓并上传照片</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OS-OPS-PRD-15-X03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后台结算需客户确认，退款和完成状态同步小程序</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客户端缓存仅用于展示，金额、库存、状态和allowedActions必须回源</w:t>
      </w:r>
    </w:p>
    <w:p>
      <w:pPr>
        <w:pStyle w:val="ListBullet"/>
      </w:pPr>
      <w:r>
        <w:t>离线或网络重试沿用同一clientRequestId，禁止产生重复业务对象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/ops/v1/checkouts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分页、排序、筛选、dataScope、字段脱敏和总数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/ops/v1/checkouts/{id}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返回version、关联对象、时间线和allowedActions</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/ops/v1/checkouts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使用clientRequestId幂等，返回业务编号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/ops/v1/checkouts/{id}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使用expectedVersion，冲突返回409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/ops/v1/checkouts/{id}/actions/{action}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退租管理.Changed.v1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包含eventId、aggregateId、version、occurredAt和最小业务数据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返回409和最新version摘要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OS-OPS-PRD-15-AC01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OS-OPS-PRD-15-AC02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OS-OPS-PRD-15-AC03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每个操作仅在allowedActions允许时显示，直接调用接口仍执行权限与状态校验。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OS-OPS-PRD-15-AC04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OS-OPS-PRD-15-AC05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OS-OPS-PRD-15-AC06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OS-OPS-PRD-15-AC07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OS-OPS-PRD-15-AC08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V2.2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OS-OPS-PRD-15  |  退租管理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