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操作审计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OS-OPS-PRD-30  |  V2.5  |  2026-09-09</w:t>
      </w:r>
    </w:p>
    <w:p>
      <w:pPr>
        <w:spacing w:before="1440"/>
        <w:jc w:val="center"/>
      </w:pPr>
      <w:r>
        <w:rPr>
          <w:rFonts w:ascii="Calibri" w:hAnsi="Calibri" w:eastAsia="Microsoft YaHei"/>
          <w:b w:val="0"/>
          <w:color w:val="1F2937"/>
          <w:sz w:val="22"/>
        </w:rPr>
        <w:t>集中记录查询敏感数据、导出、写操作、审批、权限变更和第三方调用，支持检索与取证。</w:t>
      </w:r>
    </w:p>
    <w:p>
      <w:r>
        <w:br w:type="page"/>
      </w:r>
    </w:p>
    <w:p>
      <w:pPr>
        <w:pStyle w:val="Heading1"/>
      </w:pPr>
      <w:r>
        <w:t>1 文档目标与范围</w:t>
      </w:r>
    </w:p>
    <w:p>
      <w:r>
        <w:t>集中记录查询敏感数据、导出、写操作、审批、权限变更和第三方调用，支持检索与取证。 本文档明确页面字段、操作流程、业务规则、跨端契约、权限和验收条件，研发与测试应以本文档及已冻结的接口契约为实现依据。</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OS-OPS-PRD-30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产品、前端、后端、测试、数据、运营和实施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V2.5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优先级口径</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P0为一期必须完成；P1须排期但不得阻塞P0主流程</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1944"/>
        <w:gridCol w:w="2880"/>
        <w:gridCol w:w="540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880"/>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400"/>
            <w:shd w:fill="17365D"/>
            <w:tcMar>
              <w:top w:w="75" w:type="dxa"/>
              <w:start w:w="100" w:type="dxa"/>
              <w:bottom w:w="75" w:type="dxa"/>
              <w:end w:w="100" w:type="dxa"/>
            </w:tcMar>
            <w:vAlign w:val="center"/>
          </w:tcPr>
          <w:p>
            <w:r>
              <w:rPr>
                <w:rFonts w:ascii="Calibri" w:hAnsi="Calibri" w:eastAsia="Microsoft YaHei"/>
                <w:b/>
                <w:color w:val="FFFFFF"/>
                <w:sz w:val="17"/>
              </w:rPr>
              <w:t>主要权限</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查看、创建、编辑、分派、异常处理和导出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查看、复核、分派及授权状态动作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业务执行人员</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本人、团队及被分派对象</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处理任务并填写业务结果</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财务或审批人员</w:t>
            </w:r>
          </w:p>
        </w:tc>
        <w:tc>
          <w:tcPr>
            <w:tcW w:type="dxa" w:w="28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4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金额确认、审批、冲销和受控导出</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系统集成主体</w:t>
            </w:r>
          </w:p>
        </w:tc>
        <w:tc>
          <w:tcPr>
            <w:tcW w:type="dxa" w:w="28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接口声明范围</w:t>
            </w:r>
          </w:p>
        </w:tc>
        <w:tc>
          <w:tcPr>
            <w:tcW w:type="dxa" w:w="54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按白名单调用；不可获得交互式管理员权限</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drawing>
          <wp:inline xmlns:a="http://schemas.openxmlformats.org/drawingml/2006/main" xmlns:pic="http://schemas.openxmlformats.org/drawingml/2006/picture">
            <wp:extent cx="6172200" cy="3471862"/>
            <wp:docPr id="1" name="Picture 1"/>
            <wp:cNvGraphicFramePr>
              <a:graphicFrameLocks noChangeAspect="1"/>
            </wp:cNvGraphicFramePr>
            <a:graphic>
              <a:graphicData uri="http://schemas.openxmlformats.org/drawingml/2006/picture">
                <pic:pic>
                  <pic:nvPicPr>
                    <pic:cNvPr id="0" name="ops-28-rbac-users.png"/>
                    <pic:cNvPicPr/>
                  </pic:nvPicPr>
                  <pic:blipFill>
                    <a:blip r:embed="rId11"/>
                    <a:stretch>
                      <a:fillRect/>
                    </a:stretch>
                  </pic:blipFill>
                  <pic:spPr>
                    <a:xfrm>
                      <a:off x="0" y="0"/>
                      <a:ext cx="6172200" cy="3471862"/>
                    </a:xfrm>
                    <a:prstGeom prst="rect"/>
                  </pic:spPr>
                </pic:pic>
              </a:graphicData>
            </a:graphic>
          </wp:inline>
        </w:drawing>
      </w:r>
    </w:p>
    <w:p>
      <w:pPr>
        <w:pStyle w:val="Caption"/>
        <w:jc w:val="center"/>
      </w:pPr>
      <w:r>
        <w:t>图 2-1  操作审计关联界面 用户与操作主体</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OS-OPS-PRD-30-FP01 检索日志；OS-OPS-PRD-30-FP02 查看变更；OS-OPS-PRD-30-FP03 关联请求；OS-OPS-PRD-30-FP04 导出审计；OS-OPS-PRD-30-FP05 归档与校验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配置页包含条件筛选、配置列表、启停或发布状态以及新增、编辑、查看等管理入口。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编辑使用版本控制；启停、发布和权限变更需要确认并记录审计，已被业务引用的数据不得物理删除。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所有行级和详情动作由allowedActions控制；无权限时隐藏入口，直接调用接口仍返回403并记录审计。</w:t>
            </w:r>
          </w:p>
        </w:tc>
      </w:tr>
    </w:tbl>
    <w:p>
      <w:pPr>
        <w:spacing w:after="0"/>
      </w:pPr>
    </w:p>
    <w:p>
      <w:pPr>
        <w:pStyle w:val="Heading1"/>
      </w:pPr>
      <w:r>
        <w:t>3 页面结构与查询</w:t>
      </w:r>
    </w:p>
    <w:p>
      <w:pPr>
        <w:pStyle w:val="Heading2"/>
      </w:pPr>
      <w:r>
        <w:t>3.2 筛选与列表行为</w:t>
      </w:r>
    </w:p>
    <w:tbl>
      <w:tblPr>
        <w:tblStyle w:val="TableGrid"/>
        <w:tblW w:type="dxa" w:w="10224"/>
        <w:jc w:val="center"/>
        <w:tblLayout w:type="fixed"/>
        <w:tblLook w:firstColumn="1" w:firstRow="1" w:lastColumn="0" w:lastRow="0" w:noHBand="0" w:noVBand="1" w:val="04A0"/>
      </w:tblPr>
      <w:tblGrid>
        <w:gridCol w:w="3312"/>
        <w:gridCol w:w="6912"/>
      </w:tblGrid>
      <w:tr>
        <w:trPr>
          <w:tblHeader/>
        </w:trPr>
        <w:tc>
          <w:tcPr>
            <w:tcW w:type="dxa" w:w="3312"/>
            <w:shd w:fill="17365D"/>
            <w:tcMar>
              <w:top w:w="75" w:type="dxa"/>
              <w:start w:w="100" w:type="dxa"/>
              <w:bottom w:w="75" w:type="dxa"/>
              <w:end w:w="100" w:type="dxa"/>
            </w:tcMar>
            <w:vAlign w:val="center"/>
          </w:tcPr>
          <w:p>
            <w:r>
              <w:rPr>
                <w:rFonts w:ascii="Calibri" w:hAnsi="Calibri" w:eastAsia="Microsoft YaHei"/>
                <w:b/>
                <w:color w:val="FFFFFF"/>
                <w:sz w:val="17"/>
              </w:rPr>
              <w:t>筛选项</w:t>
            </w:r>
          </w:p>
        </w:tc>
        <w:tc>
          <w:tcPr>
            <w:tcW w:type="dxa" w:w="6912"/>
            <w:shd w:fill="17365D"/>
            <w:tcMar>
              <w:top w:w="75" w:type="dxa"/>
              <w:start w:w="100" w:type="dxa"/>
              <w:bottom w:w="75" w:type="dxa"/>
              <w:end w:w="100" w:type="dxa"/>
            </w:tcMar>
            <w:vAlign w:val="center"/>
          </w:tcPr>
          <w:p>
            <w:r>
              <w:rPr>
                <w:rFonts w:ascii="Calibri" w:hAnsi="Calibri" w:eastAsia="Microsoft YaHei"/>
                <w:b/>
                <w:color w:val="FFFFFF"/>
                <w:sz w:val="17"/>
              </w:rPr>
              <w:t>交互与校验</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日志、操作者、对象或请求编号</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模块</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动作</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结果</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风险等级</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发生时间</w:t>
            </w:r>
          </w:p>
        </w:tc>
        <w:tc>
          <w:tcPr>
            <w:tcW w:type="dxa" w:w="691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r>
        <w:trPr>
          <w:cantSplit/>
        </w:trPr>
        <w:tc>
          <w:tcPr>
            <w:tcW w:type="dxa" w:w="33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IP</w:t>
            </w:r>
          </w:p>
        </w:tc>
        <w:tc>
          <w:tcPr>
            <w:tcW w:type="dxa" w:w="691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支持单项或组合查询；点击重置恢复默认；返回列表时保留本次会话条件。</w:t>
            </w:r>
          </w:p>
        </w:tc>
      </w:tr>
    </w:tbl>
    <w:p>
      <w:pPr>
        <w:spacing w:after="0"/>
      </w:pPr>
    </w:p>
    <w:p>
      <w:pPr>
        <w:pStyle w:val="ListBullet"/>
      </w:pPr>
      <w:r>
        <w:t>默认按最近更新时间倒序；用户主动排序后记录字段和方向</w:t>
      </w:r>
    </w:p>
    <w:p>
      <w:pPr>
        <w:pStyle w:val="ListBullet"/>
      </w:pPr>
      <w:r>
        <w:t>分页支持10、20、50、100条；切换每页条数回到第1页</w:t>
      </w:r>
    </w:p>
    <w:p>
      <w:pPr>
        <w:pStyle w:val="ListBullet"/>
      </w:pPr>
      <w:r>
        <w:t>加载中显示骨架或加载态；空结果区分无数据和筛选无结果</w:t>
      </w:r>
    </w:p>
    <w:p>
      <w:pPr>
        <w:pStyle w:val="ListBullet"/>
      </w:pPr>
      <w:r>
        <w:t>查询失败保留筛选条件并提供重试；不得用旧数据冒充最新结果</w:t>
      </w:r>
    </w:p>
    <w:p>
      <w:pPr>
        <w:pStyle w:val="Heading1"/>
      </w:pPr>
      <w:r>
        <w:t>4 列表字段规格</w:t>
      </w:r>
    </w:p>
    <w:tbl>
      <w:tblPr>
        <w:tblStyle w:val="TableGrid"/>
        <w:tblW w:type="dxa" w:w="10224"/>
        <w:jc w:val="center"/>
        <w:tblLayout w:type="fixed"/>
        <w:tblLook w:firstColumn="1" w:firstRow="1" w:lastColumn="0" w:lastRow="0" w:noHBand="0" w:noVBand="1" w:val="04A0"/>
      </w:tblPr>
      <w:tblGrid>
        <w:gridCol w:w="1656"/>
        <w:gridCol w:w="1944"/>
        <w:gridCol w:w="2160"/>
        <w:gridCol w:w="4464"/>
      </w:tblGrid>
      <w:tr>
        <w:trPr>
          <w:tblHeader/>
        </w:trPr>
        <w:tc>
          <w:tcPr>
            <w:tcW w:type="dxa" w:w="1656"/>
            <w:shd w:fill="17365D"/>
            <w:tcMar>
              <w:top w:w="75" w:type="dxa"/>
              <w:start w:w="100" w:type="dxa"/>
              <w:bottom w:w="75" w:type="dxa"/>
              <w:end w:w="100" w:type="dxa"/>
            </w:tcMar>
            <w:vAlign w:val="center"/>
          </w:tcPr>
          <w:p>
            <w:r>
              <w:rPr>
                <w:rFonts w:ascii="Calibri" w:hAnsi="Calibri" w:eastAsia="Microsoft YaHei"/>
                <w:b/>
                <w:color w:val="FFFFFF"/>
                <w:sz w:val="16"/>
              </w:rPr>
              <w:t>字段ID</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字段</w:t>
            </w:r>
          </w:p>
        </w:tc>
        <w:tc>
          <w:tcPr>
            <w:tcW w:type="dxa" w:w="2160"/>
            <w:shd w:fill="17365D"/>
            <w:tcMar>
              <w:top w:w="75" w:type="dxa"/>
              <w:start w:w="100" w:type="dxa"/>
              <w:bottom w:w="75" w:type="dxa"/>
              <w:end w:w="100" w:type="dxa"/>
            </w:tcMar>
            <w:vAlign w:val="center"/>
          </w:tcPr>
          <w:p>
            <w:r>
              <w:rPr>
                <w:rFonts w:ascii="Calibri" w:hAnsi="Calibri" w:eastAsia="Microsoft YaHei"/>
                <w:b/>
                <w:color w:val="FFFFFF"/>
                <w:sz w:val="16"/>
              </w:rPr>
              <w:t>来源</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6"/>
              </w:rPr>
              <w:t>展示与交互规则</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日志编号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发生时间</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服务端时间</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按Asia/Hong_Kong显示；空值显示—，排序使用原始时间。</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操作者</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allowedActions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根据allowedActions显示查看、编辑及状态动作；后端再次鉴权。</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部门</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组织或门店主数据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显示名称并保留ID；数据范围变化后重新校验。</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IP</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设备</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模块</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动作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对象类型</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OS-OPS-PRD-30-L10</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对象编号</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OS-OPS-PRD-30-L11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变更摘要</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业务主域</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详情与导出保持一致；空值显示—，不使用模拟值补齐。</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OS-OPS-PRD-30-L12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结果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服务端枚举</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以标签显示；筛选、导出和详情使用同一枚举文案。</w:t>
            </w:r>
          </w:p>
        </w:tc>
      </w:tr>
      <w:tr>
        <w:trPr>
          <w:cantSplit/>
        </w:trPr>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OS-OPS-PRD-30-L13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请求编号</w:t>
            </w:r>
          </w:p>
        </w:tc>
        <w:tc>
          <w:tcPr>
            <w:tcW w:type="dxa" w:w="21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服务端主键或业务编号</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完整展示并支持复制；唯一且不可使用展示名称代替。</w:t>
            </w:r>
          </w:p>
        </w:tc>
      </w:tr>
      <w:tr>
        <w:trPr>
          <w:cantSplit/>
        </w:trPr>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OS-OPS-PRD-30-L14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w:t>
            </w:r>
          </w:p>
        </w:tc>
        <w:tc>
          <w:tcPr>
            <w:tcW w:type="dxa" w:w="21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服务端/关联主数据</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根据allowedActions显示查看、编辑及状态动作；后端再次鉴权。</w:t>
            </w:r>
          </w:p>
        </w:tc>
      </w:tr>
    </w:tbl>
    <w:p>
      <w:pPr>
        <w:spacing w:after="0"/>
      </w:pPr>
    </w:p>
    <w:p>
      <w:pPr>
        <w:pStyle w:val="Heading1"/>
      </w:pPr>
      <w:r>
        <w:t>5 新增与编辑表单</w:t>
      </w:r>
    </w:p>
    <w:tbl>
      <w:tblPr>
        <w:tblStyle w:val="TableGrid"/>
        <w:tblW w:type="dxa" w:w="10224"/>
        <w:jc w:val="center"/>
        <w:tblLayout w:type="fixed"/>
        <w:tblLook w:firstColumn="1" w:firstRow="1" w:lastColumn="0" w:lastRow="0" w:noHBand="0" w:noVBand="1" w:val="04A0"/>
      </w:tblPr>
      <w:tblGrid>
        <w:gridCol w:w="1584"/>
        <w:gridCol w:w="1872"/>
        <w:gridCol w:w="1728"/>
        <w:gridCol w:w="1152"/>
        <w:gridCol w:w="3888"/>
      </w:tblGrid>
      <w:tr>
        <w:trPr>
          <w:tblHeader/>
        </w:trPr>
        <w:tc>
          <w:tcPr>
            <w:tcW w:type="dxa" w:w="1584"/>
            <w:shd w:fill="17365D"/>
            <w:tcMar>
              <w:top w:w="75" w:type="dxa"/>
              <w:start w:w="100" w:type="dxa"/>
              <w:bottom w:w="75" w:type="dxa"/>
              <w:end w:w="100" w:type="dxa"/>
            </w:tcMar>
            <w:vAlign w:val="center"/>
          </w:tcPr>
          <w:p>
            <w:r>
              <w:rPr>
                <w:rFonts w:ascii="Calibri" w:hAnsi="Calibri" w:eastAsia="Microsoft YaHei"/>
                <w:b/>
                <w:color w:val="FFFFFF"/>
                <w:sz w:val="15"/>
              </w:rPr>
              <w:t>字段ID</w:t>
            </w:r>
          </w:p>
        </w:tc>
        <w:tc>
          <w:tcPr>
            <w:tcW w:type="dxa" w:w="1872"/>
            <w:shd w:fill="17365D"/>
            <w:tcMar>
              <w:top w:w="75" w:type="dxa"/>
              <w:start w:w="100" w:type="dxa"/>
              <w:bottom w:w="75" w:type="dxa"/>
              <w:end w:w="100" w:type="dxa"/>
            </w:tcMar>
            <w:vAlign w:val="center"/>
          </w:tcPr>
          <w:p>
            <w:r>
              <w:rPr>
                <w:rFonts w:ascii="Calibri" w:hAnsi="Calibri" w:eastAsia="Microsoft YaHei"/>
                <w:b/>
                <w:color w:val="FFFFFF"/>
                <w:sz w:val="15"/>
              </w:rPr>
              <w:t>字段</w:t>
            </w:r>
          </w:p>
        </w:tc>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控件</w:t>
            </w:r>
          </w:p>
        </w:tc>
        <w:tc>
          <w:tcPr>
            <w:tcW w:type="dxa" w:w="1152"/>
            <w:shd w:fill="17365D"/>
            <w:tcMar>
              <w:top w:w="75" w:type="dxa"/>
              <w:start w:w="100" w:type="dxa"/>
              <w:bottom w:w="75" w:type="dxa"/>
              <w:end w:w="100" w:type="dxa"/>
            </w:tcMar>
            <w:vAlign w:val="center"/>
          </w:tcPr>
          <w:p>
            <w:r>
              <w:rPr>
                <w:rFonts w:ascii="Calibri" w:hAnsi="Calibri" w:eastAsia="Microsoft YaHei"/>
                <w:b/>
                <w:color w:val="FFFFFF"/>
                <w:sz w:val="15"/>
              </w:rPr>
              <w:t>必填</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校验与保存规则</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OS-OPS-PRD-30-F01</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导出用途</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OS-OPS-PRD-30-F02</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查询条件</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OS-OPS-PRD-30-F03</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时间范围</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单选或下拉选择</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选项来自服务端字典；提交编码值，界面显示名称。</w:t>
            </w:r>
          </w:p>
        </w:tc>
      </w:tr>
      <w:tr>
        <w:trPr>
          <w:cantSplit/>
        </w:trPr>
        <w:tc>
          <w:tcPr>
            <w:tcW w:type="dxa" w:w="15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OS-OPS-PRD-30-F04</w:t>
            </w:r>
          </w:p>
        </w:tc>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审批单号</w:t>
            </w:r>
          </w:p>
        </w:tc>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去除首尾空格；保存原始值与标准化值。</w:t>
            </w:r>
          </w:p>
        </w:tc>
      </w:tr>
      <w:tr>
        <w:trPr>
          <w:cantSplit/>
        </w:trPr>
        <w:tc>
          <w:tcPr>
            <w:tcW w:type="dxa" w:w="15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OS-OPS-PRD-30-F05</w:t>
            </w:r>
          </w:p>
        </w:tc>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脱敏级别</w:t>
            </w:r>
          </w:p>
        </w:tc>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文本框</w:t>
            </w:r>
          </w:p>
        </w:tc>
        <w:tc>
          <w:tcPr>
            <w:tcW w:type="dxa" w:w="11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条件必填</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去除首尾空格；保存原始值与标准化值。</w:t>
            </w:r>
          </w:p>
        </w:tc>
      </w:tr>
    </w:tbl>
    <w:p>
      <w:pPr>
        <w:spacing w:after="0"/>
      </w:pPr>
    </w:p>
    <w:p>
      <w:pPr>
        <w:pStyle w:val="ListBullet"/>
      </w:pPr>
      <w:r>
        <w:t>首次打开新增表单使用服务端默认值；编辑表单显示当前version</w:t>
      </w:r>
    </w:p>
    <w:p>
      <w:pPr>
        <w:pStyle w:val="ListBullet"/>
      </w:pPr>
      <w:r>
        <w:t>字段错误显示在对应字段下方，已填写的其他字段不得清空</w:t>
      </w:r>
    </w:p>
    <w:p>
      <w:pPr>
        <w:pStyle w:val="ListBullet"/>
      </w:pPr>
      <w:r>
        <w:t>关闭未保存表单时，如有修改必须二次确认</w:t>
      </w:r>
    </w:p>
    <w:p>
      <w:pPr>
        <w:pStyle w:val="ListBullet"/>
      </w:pPr>
      <w:r>
        <w:t>保存按钮在请求进行中禁用；超时后先查询结果再允许重试</w:t>
      </w:r>
    </w:p>
    <w:p>
      <w:pPr>
        <w:pStyle w:val="Heading2"/>
      </w:pPr>
      <w:r>
        <w:t>5.1 详情入口与页面容器</w:t>
      </w:r>
    </w:p>
    <w:p>
      <w:r>
        <w:t>用户从列表行的查看入口、业务编号链接或关联对象深链打开详情。界面设计依据原型中的“操作审计关联界面 用户与操作主体”真实截图；原型未提供独立详情画面时，不生成示例截图，研发按本文档定义在现有列表视觉体系中实现右侧抽屉或独立详情页。</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界面状态</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完整处理规则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打开与返回</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打开时保存列表筛选、分页、排序和滚动位置；关闭或返回后恢复原上下文，并只刷新发生变化的行。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加载中</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先展示对象类型、业务编号和骨架屏；各信息组独立加载，禁止闪现上一条记录。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加载成功</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返回id、业务编号、version、当前状态、asOfTime、fieldPermissions和allowedActions；页面以响应为唯一展示依据。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记录不存在</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显示记录不存在、已归档或已移除；不泄露客户、金额、地址和关联对象，提供返回列表入口。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无权限</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详情接口在返回任何业务字段前完成对象级和字段级鉴权；页面显示无权查看并记录拒绝审计。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版本变化</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收到对象变更事件时自动刷新只读区；若存在未提交操作，提示比较最新版本，不覆盖用户输入。</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部分失败</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基本资料可显示时保留页面，仅在失败的信息组显示错误、traceId和重试；不得把缺失值显示为0或正常状态。</w:t>
            </w:r>
          </w:p>
        </w:tc>
      </w:tr>
    </w:tbl>
    <w:p>
      <w:pPr>
        <w:spacing w:after="0"/>
      </w:pPr>
    </w:p>
    <w:p>
      <w:pPr>
        <w:pStyle w:val="Heading2"/>
      </w:pPr>
      <w:r>
        <w:t>5.2 顶部摘要与详情信息组</w:t>
      </w:r>
    </w:p>
    <w:p>
      <w:r>
        <w:t>顶部摘要用于确认当前查看对象、归属、状态、责任人和关键业务值。详情字段必须覆盖新增、编辑及系统处理后形成的有效数据，不得只复制列表列。</w:t>
      </w:r>
    </w:p>
    <w:tbl>
      <w:tblPr>
        <w:tblStyle w:val="TableGrid"/>
        <w:tblW w:type="dxa" w:w="10224"/>
        <w:jc w:val="center"/>
        <w:tblLayout w:type="fixed"/>
        <w:tblLook w:firstColumn="1" w:firstRow="1" w:lastColumn="0" w:lastRow="0" w:noHBand="0" w:noVBand="1" w:val="04A0"/>
      </w:tblPr>
      <w:tblGrid>
        <w:gridCol w:w="2088"/>
        <w:gridCol w:w="4968"/>
        <w:gridCol w:w="316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5"/>
              </w:rPr>
              <w:t>信息组</w:t>
            </w:r>
          </w:p>
        </w:tc>
        <w:tc>
          <w:tcPr>
            <w:tcW w:type="dxa" w:w="4968"/>
            <w:shd w:fill="17365D"/>
            <w:tcMar>
              <w:top w:w="75" w:type="dxa"/>
              <w:start w:w="100" w:type="dxa"/>
              <w:bottom w:w="75" w:type="dxa"/>
              <w:end w:w="100" w:type="dxa"/>
            </w:tcMar>
            <w:vAlign w:val="center"/>
          </w:tcPr>
          <w:p>
            <w:r>
              <w:rPr>
                <w:rFonts w:ascii="Calibri" w:hAnsi="Calibri" w:eastAsia="Microsoft YaHei"/>
                <w:b/>
                <w:color w:val="FFFFFF"/>
                <w:sz w:val="15"/>
              </w:rPr>
              <w:t>展示字段</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5"/>
              </w:rPr>
              <w:t>展示与交互规则</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标识与基本资料</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日志编号、操作者、IP、设备、模块、动作、对象类型、对象编号、请求编号、导出用途、查询条件、审批单号、脱敏级别</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完整显示业务编号与主属性；编号支持复制且不可编辑，敏感字段按字段权限脱敏。</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归属与关联对象</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部门</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显示名称加业务编号；有查看权限时可打开关联对象，无权限时只显示允许的摘要。</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状态责任与时间</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发生时间、结果、时间范围</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显示当前状态、负责人、业务时间和服务器更新时间；状态由服务端枚举与时间线共同解释。</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附件说明与补充信息</w:t>
            </w:r>
          </w:p>
        </w:tc>
        <w:tc>
          <w:tcPr>
            <w:tcW w:type="dxa" w:w="49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变更摘要</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附件展示文件名、版本、扫描状态和权限动作；长文本保留换行并记录创建人与时间。</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系统与审计信息</w:t>
            </w:r>
          </w:p>
        </w:tc>
        <w:tc>
          <w:tcPr>
            <w:tcW w:type="dxa" w:w="49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version、createdAt、createdBy、updatedAt、updatedBy、sourceChannel、requestId</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作为详情响应固定字段；用于并发控制、来源说明和操作追踪，不允许前端伪造。</w:t>
            </w:r>
          </w:p>
        </w:tc>
      </w:tr>
    </w:tbl>
    <w:p>
      <w:pPr>
        <w:spacing w:after="0"/>
      </w:pPr>
    </w:p>
    <w:p>
      <w:pPr>
        <w:pStyle w:val="Heading2"/>
      </w:pPr>
      <w:r>
        <w:t>5.3 状态时间线与处理记录</w:t>
      </w:r>
    </w:p>
    <w:tbl>
      <w:tblPr>
        <w:tblStyle w:val="TableGrid"/>
        <w:tblW w:type="dxa" w:w="10368"/>
        <w:jc w:val="center"/>
        <w:tblLayout w:type="fixed"/>
        <w:tblLook w:firstColumn="1" w:firstRow="1" w:lastColumn="0" w:lastRow="0" w:noHBand="0" w:noVBand="1" w:val="04A0"/>
      </w:tblPr>
      <w:tblGrid>
        <w:gridCol w:w="1800"/>
        <w:gridCol w:w="3816"/>
        <w:gridCol w:w="475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区域</w:t>
            </w:r>
          </w:p>
        </w:tc>
        <w:tc>
          <w:tcPr>
            <w:tcW w:type="dxa" w:w="3816"/>
            <w:shd w:fill="17365D"/>
            <w:tcMar>
              <w:top w:w="75" w:type="dxa"/>
              <w:start w:w="100" w:type="dxa"/>
              <w:bottom w:w="75" w:type="dxa"/>
              <w:end w:w="100" w:type="dxa"/>
            </w:tcMar>
            <w:vAlign w:val="center"/>
          </w:tcPr>
          <w:p>
            <w:r>
              <w:rPr>
                <w:rFonts w:ascii="Calibri" w:hAnsi="Calibri" w:eastAsia="Microsoft YaHei"/>
                <w:b/>
                <w:color w:val="FFFFFF"/>
                <w:sz w:val="15"/>
              </w:rPr>
              <w:t>内容</w:t>
            </w:r>
          </w:p>
        </w:tc>
        <w:tc>
          <w:tcPr>
            <w:tcW w:type="dxa" w:w="4752"/>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当前状态</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写入中→已落库；归档中→已归档/失败；风险：普通→关注→高风险</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由服务端currentStatus和statusLabel返回；页面不得根据按钮、时间或关联对象自行推断。</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创建、分派或提交、审批、执行、完成、取消、失败、恢复等有效节点</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每个节点显示eventId、状态、业务时间、服务器接收时间、操作者、来源端、原因和结果；重试不得覆盖历史。</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操作记录</w:t>
            </w:r>
          </w:p>
        </w:tc>
        <w:tc>
          <w:tcPr>
            <w:tcW w:type="dxa" w:w="38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新增、编辑、状态动作、关联变更、下载、导出和权限拒绝</w:t>
            </w:r>
          </w:p>
        </w:tc>
        <w:tc>
          <w:tcPr>
            <w:tcW w:type="dxa" w:w="47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按发生时间倒序分页；字段变化显示前后值摘要，敏感原文继续脱敏。</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异步任务</w:t>
            </w:r>
          </w:p>
        </w:tc>
        <w:tc>
          <w:tcPr>
            <w:tcW w:type="dxa" w:w="38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通知、同步、文件处理、第三方回调、导出或补偿任务</w:t>
            </w:r>
          </w:p>
        </w:tc>
        <w:tc>
          <w:tcPr>
            <w:tcW w:type="dxa" w:w="47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显示任务编号、当前状态、重试次数、最近错误和下一次重试时间；主事务成功与异步失败分开表达。</w:t>
            </w:r>
          </w:p>
        </w:tc>
      </w:tr>
    </w:tbl>
    <w:p>
      <w:pPr>
        <w:spacing w:after="0"/>
      </w:pPr>
    </w:p>
    <w:p>
      <w:pPr>
        <w:pStyle w:val="Heading2"/>
      </w:pPr>
      <w:r>
        <w:t>5.4 关联对象与页签规则</w:t>
      </w:r>
    </w:p>
    <w:tbl>
      <w:tblPr>
        <w:tblStyle w:val="TableGrid"/>
        <w:tblW w:type="dxa" w:w="10368"/>
        <w:jc w:val="center"/>
        <w:tblLayout w:type="fixed"/>
        <w:tblLook w:firstColumn="1" w:firstRow="1" w:lastColumn="0" w:lastRow="0" w:noHBand="0" w:noVBand="1" w:val="04A0"/>
      </w:tblPr>
      <w:tblGrid>
        <w:gridCol w:w="1800"/>
        <w:gridCol w:w="4032"/>
        <w:gridCol w:w="4536"/>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页签或区域</w:t>
            </w:r>
          </w:p>
        </w:tc>
        <w:tc>
          <w:tcPr>
            <w:tcW w:type="dxa" w:w="4032"/>
            <w:shd w:fill="17365D"/>
            <w:tcMar>
              <w:top w:w="75" w:type="dxa"/>
              <w:start w:w="100" w:type="dxa"/>
              <w:bottom w:w="75" w:type="dxa"/>
              <w:end w:w="100" w:type="dxa"/>
            </w:tcMar>
            <w:vAlign w:val="center"/>
          </w:tcPr>
          <w:p>
            <w:r>
              <w:rPr>
                <w:rFonts w:ascii="Calibri" w:hAnsi="Calibri" w:eastAsia="Microsoft YaHei"/>
                <w:b/>
                <w:color w:val="FFFFFF"/>
                <w:sz w:val="15"/>
              </w:rPr>
              <w:t>范围</w:t>
            </w:r>
          </w:p>
        </w:tc>
        <w:tc>
          <w:tcPr>
            <w:tcW w:type="dxa" w:w="4536"/>
            <w:shd w:fill="17365D"/>
            <w:tcMar>
              <w:top w:w="75" w:type="dxa"/>
              <w:start w:w="100" w:type="dxa"/>
              <w:bottom w:w="75" w:type="dxa"/>
              <w:end w:w="100" w:type="dxa"/>
            </w:tcMar>
            <w:vAlign w:val="center"/>
          </w:tcPr>
          <w:p>
            <w:r>
              <w:rPr>
                <w:rFonts w:ascii="Calibri" w:hAnsi="Calibri" w:eastAsia="Microsoft YaHei"/>
                <w:b/>
                <w:color w:val="FFFFFF"/>
                <w:sz w:val="15"/>
              </w:rPr>
              <w:t>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基本资料</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当前对象全部有效字段</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按fieldPermissions显示、脱敏或隐藏；编辑入口只在allowedActions含EDIT时出现。</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关联业务</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操作者、代理主体、业务对象、请求链路、字段变更、接口与第三方调用、风险标记和导出记录</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关联列表返回对象类型、编号、名称、状态、关系、关键时间和detailUrl；按权限分页加载。</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附件与凭证</w:t>
            </w:r>
          </w:p>
        </w:tc>
        <w:tc>
          <w:tcPr>
            <w:tcW w:type="dxa" w:w="40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当前对象及处理过程形成的文件</w:t>
            </w:r>
          </w:p>
        </w:tc>
        <w:tc>
          <w:tcPr>
            <w:tcW w:type="dxa" w:w="45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显示文件版本、上传者、上传时间、扫描状态、哈希和可用动作；预览及下载均审计。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处理记录</w:t>
            </w:r>
          </w:p>
        </w:tc>
        <w:tc>
          <w:tcPr>
            <w:tcW w:type="dxa" w:w="40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状态时间线、操作日志和异步任务</w:t>
            </w:r>
          </w:p>
        </w:tc>
        <w:tc>
          <w:tcPr>
            <w:tcW w:type="dxa" w:w="45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支持按记录类型筛选；默认最新优先，时间字段统一使用Asia/Hong_Kong展示。</w:t>
            </w:r>
          </w:p>
        </w:tc>
      </w:tr>
    </w:tbl>
    <w:p>
      <w:pPr>
        <w:spacing w:after="0"/>
      </w:pPr>
    </w:p>
    <w:p>
      <w:pPr>
        <w:pStyle w:val="Heading2"/>
      </w:pPr>
      <w:r>
        <w:t>5.5 详情动作与状态控制</w:t>
      </w:r>
    </w:p>
    <w:tbl>
      <w:tblPr>
        <w:tblStyle w:val="TableGrid"/>
        <w:tblW w:type="dxa" w:w="11376"/>
        <w:jc w:val="center"/>
        <w:tblLayout w:type="fixed"/>
        <w:tblLook w:firstColumn="1" w:firstRow="1" w:lastColumn="0" w:lastRow="0" w:noHBand="0" w:noVBand="1" w:val="04A0"/>
      </w:tblPr>
      <w:tblGrid>
        <w:gridCol w:w="1440"/>
        <w:gridCol w:w="1800"/>
        <w:gridCol w:w="1944"/>
        <w:gridCol w:w="3024"/>
        <w:gridCol w:w="3168"/>
      </w:tblGrid>
      <w:tr>
        <w:trPr>
          <w:tblHeader/>
        </w:trPr>
        <w:tc>
          <w:tcPr>
            <w:tcW w:type="dxa" w:w="1440"/>
            <w:shd w:fill="17365D"/>
            <w:tcMar>
              <w:top w:w="75" w:type="dxa"/>
              <w:start w:w="100" w:type="dxa"/>
              <w:bottom w:w="75" w:type="dxa"/>
              <w:end w:w="100" w:type="dxa"/>
            </w:tcMar>
            <w:vAlign w:val="center"/>
          </w:tcPr>
          <w:p>
            <w:r>
              <w:rPr>
                <w:rFonts w:ascii="Calibri" w:hAnsi="Calibri" w:eastAsia="Microsoft YaHei"/>
                <w:b/>
                <w:color w:val="FFFFFF"/>
                <w:sz w:val="14"/>
              </w:rPr>
              <w:t>动作ID</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动作</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4"/>
              </w:rPr>
              <w:t>角色</w:t>
            </w:r>
          </w:p>
        </w:tc>
        <w:tc>
          <w:tcPr>
            <w:tcW w:type="dxa" w:w="3024"/>
            <w:shd w:fill="17365D"/>
            <w:tcMar>
              <w:top w:w="75" w:type="dxa"/>
              <w:start w:w="100" w:type="dxa"/>
              <w:bottom w:w="75" w:type="dxa"/>
              <w:end w:w="100" w:type="dxa"/>
            </w:tcMar>
            <w:vAlign w:val="center"/>
          </w:tcPr>
          <w:p>
            <w:r>
              <w:rPr>
                <w:rFonts w:ascii="Calibri" w:hAnsi="Calibri" w:eastAsia="Microsoft YaHei"/>
                <w:b/>
                <w:color w:val="FFFFFF"/>
                <w:sz w:val="14"/>
              </w:rPr>
              <w:t>前置条件</w:t>
            </w:r>
          </w:p>
        </w:tc>
        <w:tc>
          <w:tcPr>
            <w:tcW w:type="dxa" w:w="3168"/>
            <w:shd w:fill="17365D"/>
            <w:tcMar>
              <w:top w:w="75" w:type="dxa"/>
              <w:start w:w="100" w:type="dxa"/>
              <w:bottom w:w="75" w:type="dxa"/>
              <w:end w:w="100" w:type="dxa"/>
            </w:tcMar>
            <w:vAlign w:val="center"/>
          </w:tcPr>
          <w:p>
            <w:r>
              <w:rPr>
                <w:rFonts w:ascii="Calibri" w:hAnsi="Calibri" w:eastAsia="Microsoft YaHei"/>
                <w:b/>
                <w:color w:val="FFFFFF"/>
                <w:sz w:val="14"/>
              </w:rPr>
              <w:t>成功及刷新规则</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OS-OPS-PRD-30-DA01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检索日志</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按索引查询且不能修改原日志。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OS-OPS-PRD-30-DA02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查看变更</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拥有对应dataScope的查询用户</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用户登录有效，拥有菜单和对象查看权限，查询条件属于dataScope；打开详情时对象存在。敏感字段、金额和状态必须回源。</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展示字段级前后值摘要，敏感值继续脱敏。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OS-OPS-PRD-30-DA03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关联请求</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当前对象负责人、被分派执行人或获授权管理员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按requestId串联接口、事件和第三方调用。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OS-OPS-PRD-30-DA04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导出审计</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具备导出或报告权限的用户</w:t>
            </w:r>
          </w:p>
        </w:tc>
        <w:tc>
          <w:tcPr>
            <w:tcW w:type="dxa" w:w="30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用户具备导出或报告权限，当前查询已完成且筛选合法；导出列不得超出字段权限，任务配额未超限。</w:t>
            </w:r>
          </w:p>
        </w:tc>
        <w:tc>
          <w:tcPr>
            <w:tcW w:type="dxa" w:w="316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需用途和权限，导出行为自身也记录。 成功后刷新version、状态、时间线、关联数量和allowedActions；失败不得提前改变界面主状态。</w:t>
            </w:r>
          </w:p>
        </w:tc>
      </w:tr>
      <w:tr>
        <w:trPr>
          <w:cantSplit/>
        </w:trPr>
        <w:tc>
          <w:tcPr>
            <w:tcW w:type="dxa" w:w="14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OS-OPS-PRD-30-DA05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归档与校验</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对象负责人或具备状态管理权限的管理员</w:t>
            </w:r>
          </w:p>
        </w:tc>
        <w:tc>
          <w:tcPr>
            <w:tcW w:type="dxa" w:w="30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用户登录有效；目标对象存在且属于用户dataScope；当前状态包含该动作；页面持有最新version和allowedActions。涉及金额、库存、附件或第三方结果时必须回源确认。</w:t>
            </w:r>
          </w:p>
        </w:tc>
        <w:tc>
          <w:tcPr>
            <w:tcW w:type="dxa" w:w="316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按保留策略归档并验证完整性。 成功后刷新version、状态、时间线、关联数量和allowedActions；失败不得提前改变界面主状态。</w:t>
            </w:r>
          </w:p>
        </w:tc>
      </w:tr>
    </w:tbl>
    <w:p>
      <w:pPr>
        <w:spacing w:after="0"/>
      </w:pPr>
    </w:p>
    <w:p>
      <w:pPr>
        <w:pStyle w:val="ListBullet"/>
      </w:pPr>
      <w:r>
        <w:t>主动作与次动作严格按照allowedActions显示并固定actionCode映射</w:t>
      </w:r>
    </w:p>
    <w:p>
      <w:pPr>
        <w:pStyle w:val="ListBullet"/>
      </w:pPr>
      <w:r>
        <w:t>破坏性、资金、权限、发布、作废和关闭动作必须二次确认并显示影响范围</w:t>
      </w:r>
    </w:p>
    <w:p>
      <w:pPr>
        <w:pStyle w:val="ListBullet"/>
      </w:pPr>
      <w:r>
        <w:t>提交携带id、expectedVersion和clientRequestId，服务端重复校验角色、数据范围、状态及业务前置</w:t>
      </w:r>
    </w:p>
    <w:p>
      <w:pPr>
        <w:pStyle w:val="ListBullet"/>
      </w:pPr>
      <w:r>
        <w:t>动作超时先用clientRequestId查询结果，禁止直接重复扣款、发券、发通知、发布或迁移</w:t>
      </w:r>
    </w:p>
    <w:p>
      <w:pPr>
        <w:pStyle w:val="ListBullet"/>
      </w:pPr>
      <w:r>
        <w:t>批量或部分成功必须返回逐项结果、失败原因和补偿入口</w:t>
      </w:r>
    </w:p>
    <w:p>
      <w:pPr>
        <w:pStyle w:val="Heading2"/>
      </w:pPr>
      <w:r>
        <w:t>5.6 详情接口数据与事件</w:t>
      </w:r>
    </w:p>
    <w:tbl>
      <w:tblPr>
        <w:tblStyle w:val="TableGrid"/>
        <w:tblW w:type="dxa" w:w="10224"/>
        <w:jc w:val="center"/>
        <w:tblLayout w:type="fixed"/>
        <w:tblLook w:firstColumn="1" w:firstRow="1" w:lastColumn="0" w:lastRow="0" w:noHBand="0" w:noVBand="1" w:val="04A0"/>
      </w:tblPr>
      <w:tblGrid>
        <w:gridCol w:w="1800"/>
        <w:gridCol w:w="3960"/>
        <w:gridCol w:w="4464"/>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960"/>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464"/>
            <w:shd w:fill="17365D"/>
            <w:tcMar>
              <w:top w:w="75" w:type="dxa"/>
              <w:start w:w="100" w:type="dxa"/>
              <w:bottom w:w="75" w:type="dxa"/>
              <w:end w:w="100" w:type="dxa"/>
            </w:tcMar>
            <w:vAlign w:val="center"/>
          </w:tcPr>
          <w:p>
            <w:r>
              <w:rPr>
                <w:rFonts w:ascii="Calibri" w:hAnsi="Calibri" w:eastAsia="Microsoft YaHei"/>
                <w:b/>
                <w:color w:val="FFFFFF"/>
                <w:sz w:val="15"/>
              </w:rPr>
              <w:t>开发要求</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详情聚合</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/ops/v1/audit-logs/{id}</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返回基本资料、状态、version、fieldPermissions、allowedActions、关联计数和各信息组状态。</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状态时间线</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/ops/v1/audit-logs/{id}/timeline</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按cursor分页返回不可覆盖的业务节点、操作者、来源端、业务时间和接收时间。</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关联对象</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/ops/v1/audit-logs/{id}/relations</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按relationType分页查询，并执行目标对象数据范围和字段权限。</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操作记录</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/ops/v1/audit-logs/{id}/activities</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返回字段变更摘要、状态动作、异步任务和权限可见的审计记录。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执行业务动作</w:t>
            </w:r>
          </w:p>
        </w:tc>
        <w:tc>
          <w:tcPr>
            <w:tcW w:type="dxa" w:w="396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/ops/v1/audit-logs/{id}/actions/{actionCode}</w:t>
            </w:r>
          </w:p>
        </w:tc>
        <w:tc>
          <w:tcPr>
            <w:tcW w:type="dxa" w:w="446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携带expectedVersion和clientRequestId；返回新version、状态、allowedActions及副作用任务。</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详情变更事件</w:t>
            </w:r>
          </w:p>
        </w:tc>
        <w:tc>
          <w:tcPr>
            <w:tcW w:type="dxa" w:w="396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操作审计.DetailChanged.v1</w:t>
            </w:r>
          </w:p>
        </w:tc>
        <w:tc>
          <w:tcPr>
            <w:tcW w:type="dxa" w:w="446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包含eventId、aggregateId、version和changedSections；前端只刷新受影响信息组。</w:t>
            </w:r>
          </w:p>
        </w:tc>
      </w:tr>
    </w:tbl>
    <w:p>
      <w:pPr>
        <w:spacing w:after="0"/>
      </w:pPr>
    </w:p>
    <w:p>
      <w:pPr>
        <w:pStyle w:val="Heading2"/>
      </w:pPr>
      <w:r>
        <w:t>5.7 详情页异常边界与验收</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OS-OPS-PRD-30-DAC01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从列表、业务编号或深链均能打开同一对象详情并在返回时保留列表上下文</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OS-OPS-PRD-30-DAC02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详情覆盖新增编辑字段、系统字段、状态、责任人、关联业务、附件和操作记录</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OS-OPS-PRD-30-DAC03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对象级和字段级权限在接口返回前生效，无权限内容不会先显示后遮盖</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OS-OPS-PRD-30-DAC04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当前状态、时间线、操作记录和allowedActions使用同一id与version且可以相互解释</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OS-OPS-PRD-30-DAC05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每个动作同时校验角色、dataScope、状态、expectedVersion和业务前置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OS-OPS-PRD-30-DAC06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关联对象数量、列表和跳转目标一致，目标对象无权时不泄露敏感摘要</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OS-OPS-PRD-30-DAC07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附件预览下载校验扫描状态和权限并形成审计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OS-OPS-PRD-30-DAC08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409并发冲突保留未提交输入并提示最新版本，重复clientRequestId不产生重复副作用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OS-OPS-PRD-30-DAC09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异步失败、第三方失败和部分成功均显示任务编号、错误与补偿入口</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OS-OPS-PRD-30-DAC10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详情变更事件只刷新changedSections，重新查询后各页签数据与主域一致</w:t>
            </w:r>
          </w:p>
        </w:tc>
      </w:tr>
    </w:tbl>
    <w:p>
      <w:pPr>
        <w:spacing w:after="0"/>
      </w:pPr>
    </w:p>
    <w:p>
      <w:pPr>
        <w:pStyle w:val="Heading1"/>
      </w:pPr>
      <w:r>
        <w:t>6 功能点详细设计</w:t>
      </w:r>
    </w:p>
    <w:tbl>
      <w:tblPr>
        <w:tblStyle w:val="TableGrid"/>
        <w:tblW w:type="dxa" w:w="10224"/>
        <w:jc w:val="center"/>
        <w:tblLayout w:type="fixed"/>
        <w:tblLook w:firstColumn="1" w:firstRow="1" w:lastColumn="0" w:lastRow="0" w:noHBand="0" w:noVBand="1" w:val="04A0"/>
      </w:tblPr>
      <w:tblGrid>
        <w:gridCol w:w="1800"/>
        <w:gridCol w:w="2232"/>
        <w:gridCol w:w="6192"/>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6"/>
              </w:rPr>
              <w:t>功能编号</w:t>
            </w:r>
          </w:p>
        </w:tc>
        <w:tc>
          <w:tcPr>
            <w:tcW w:type="dxa" w:w="2232"/>
            <w:shd w:fill="17365D"/>
            <w:tcMar>
              <w:top w:w="75" w:type="dxa"/>
              <w:start w:w="100" w:type="dxa"/>
              <w:bottom w:w="75" w:type="dxa"/>
              <w:end w:w="100" w:type="dxa"/>
            </w:tcMar>
            <w:vAlign w:val="center"/>
          </w:tcPr>
          <w:p>
            <w:r>
              <w:rPr>
                <w:rFonts w:ascii="Calibri" w:hAnsi="Calibri" w:eastAsia="Microsoft YaHei"/>
                <w:b/>
                <w:color w:val="FFFFFF"/>
                <w:sz w:val="16"/>
              </w:rPr>
              <w:t>功能点</w:t>
            </w:r>
          </w:p>
        </w:tc>
        <w:tc>
          <w:tcPr>
            <w:tcW w:type="dxa" w:w="6192"/>
            <w:shd w:fill="17365D"/>
            <w:tcMar>
              <w:top w:w="75" w:type="dxa"/>
              <w:start w:w="100" w:type="dxa"/>
              <w:bottom w:w="75" w:type="dxa"/>
              <w:end w:w="100" w:type="dxa"/>
            </w:tcMar>
            <w:vAlign w:val="center"/>
          </w:tcPr>
          <w:p>
            <w:r>
              <w:rPr>
                <w:rFonts w:ascii="Calibri" w:hAnsi="Calibri" w:eastAsia="Microsoft YaHei"/>
                <w:b/>
                <w:color w:val="FFFFFF"/>
                <w:sz w:val="16"/>
              </w:rPr>
              <w:t>目标</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OS-OPS-PRD-30-FP01</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检索日志</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按索引查询且不能修改原日志。</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OS-OPS-PRD-30-FP02</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查看变更</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展示字段级前后值摘要，敏感值继续脱敏。</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OS-OPS-PRD-30-FP03</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关联请求</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按requestId串联接口、事件和第三方调用。</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OS-OPS-PRD-30-FP04</w:t>
            </w:r>
          </w:p>
        </w:tc>
        <w:tc>
          <w:tcPr>
            <w:tcW w:type="dxa" w:w="22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导出审计</w:t>
            </w:r>
          </w:p>
        </w:tc>
        <w:tc>
          <w:tcPr>
            <w:tcW w:type="dxa" w:w="61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需用途和权限，导出行为自身也记录。</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OS-OPS-PRD-30-FP05</w:t>
            </w:r>
          </w:p>
        </w:tc>
        <w:tc>
          <w:tcPr>
            <w:tcW w:type="dxa" w:w="22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归档与校验</w:t>
            </w:r>
          </w:p>
        </w:tc>
        <w:tc>
          <w:tcPr>
            <w:tcW w:type="dxa" w:w="61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按保留策略归档并验证完整性。</w:t>
            </w:r>
          </w:p>
        </w:tc>
      </w:tr>
    </w:tbl>
    <w:p>
      <w:pPr>
        <w:spacing w:after="0"/>
      </w:pPr>
    </w:p>
    <w:p>
      <w:pPr>
        <w:pStyle w:val="Heading2"/>
      </w:pPr>
      <w:r>
        <w:t>6.1 检索日志</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OS-OPS-PRD-30-FP01。功能目的为按索引查询且不能修改原日志。</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在详情页执行检索日志，填写或核对时间范围、日志编号、发生时间、对象编号、请求编号；界面随步骤显示当前节点、下一步和可撤回条件。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/ops/v1/audit-logs/{id}/actions/{action}，校验权限、当前状态、expectedVersion和业务不变量，在事务中写入状态及时间线。按索引查询且不能修改原日志。</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审计日志追加写不可更新删除；敏感原文不进入普通日志；关键日志保存哈希或签名。所有校验必须由服务端再次执行，前端校验只用于即时反馈。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页面提示“检索日志成功”，刷新对象状态、version、allowedActions、关联对象和时间线；如产生异步任务，同时显示任务编号和进度入口。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小程序代客或客户自助操作记录渠道和身份。跨端消息只携带业务编号，接收端打开后重新鉴权并查询最新状态。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在允许状态下完成检索日志时仅产生一次预期数据变化和一次审计记录；越权、错误状态、重复提交及版本冲突均不得产生重复对象或越级状态。</w:t>
      </w:r>
    </w:p>
    <w:p>
      <w:pPr>
        <w:pStyle w:val="Heading2"/>
      </w:pPr>
      <w:r>
        <w:t>6.2 查看变更</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OS-OPS-PRD-30-FP02。功能目的为展示字段级前后值摘要，敏感值继续脱敏。</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拥有对应dataScope的查询用户；从指标卡、图表、列表行标题或详情入口进入。入口显示前先校验菜单权限、动作权限和数据范围。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用户登录有效，拥有菜单和对象查看权限，查询条件属于dataScope；打开详情时对象存在。敏感字段、金额和状态必须回源。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从卡片、列表或关联编号进入，加载时间范围、日志编号、发生时间、对象编号、请求编号及时间线；切换页签或筛选不改变主对象，返回时保留来源页条件。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服务端校验身份、dataScope和字段脱敏后查询 /ops/v1/audit-logs；返回version、关联对象、时间线和allowedActions。展示字段级前后值摘要，敏感值继续脱敏。</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查询、详情、统计和下钻必须使用同一dataScope；敏感字段按权限脱敏；刷新时回源获取最新状态。。所有校验必须由服务端再次执行，前端校验只用于即时反馈。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界面完成查看变更并显示最新数据、截止时间、关联对象和允许操作；查询本身不改变业务状态。涉及敏感原文查看时单独记录访问审计。</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工单小程序离线补传保留设备时间和服务端接收时间。跨端消息只携带业务编号，接收端打开后重新鉴权并查询最新状态。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查看变更只返回dataScope内且按权限脱敏的数据；刷新前后无业务写入，筛选、详情和导出对同一对象的字段值一致。</w:t>
      </w:r>
    </w:p>
    <w:p>
      <w:pPr>
        <w:pStyle w:val="Heading2"/>
      </w:pPr>
      <w:r>
        <w:t>6.3 关联请求</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OS-OPS-PRD-30-FP03。功能目的为按requestId串联接口、事件和第三方调用。</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当前对象负责人、被分派执行人或获授权管理员；从列表行操作、详情页主操作区或待办入口进入。入口显示前先校验菜单权限、动作权限和数据范围。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在详情页执行关联请求，填写或核对时间范围、日志编号、发生时间、对象编号、请求编号；界面随步骤显示当前节点、下一步和可撤回条件。</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/ops/v1/audit-logs/{id}/actions/{action}，校验权限、当前状态、expectedVersion和业务不变量，在事务中写入状态及时间线。按requestId串联接口、事件和第三方调用。</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审计日志追加写不可更新删除；记录操作者主体、代理主体和客户端。所有校验必须由服务端再次执行，前端校验只用于即时反馈。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页面提示“关联请求成功”，刷新对象状态、version、allowedActions、关联对象和时间线；如产生异步任务，同时显示任务编号和进度入口。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第三方回调记录验签结果和外部交易号。跨端消息只携带业务编号，接收端打开后重新鉴权并查询最新状态。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在允许状态下完成关联请求时仅产生一次预期数据变化和一次审计记录；越权、错误状态、重复提交及版本冲突均不得产生重复对象或越级状态。</w:t>
      </w:r>
    </w:p>
    <w:p>
      <w:pPr>
        <w:pStyle w:val="Heading2"/>
      </w:pPr>
      <w:r>
        <w:t>6.4 导出审计</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OS-OPS-PRD-30-FP04。功能目的为需用途和权限，导出行为自身也记录。</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具备导出或报告权限的用户；从列表工具栏或报告生成入口进入。入口显示前先校验菜单权限、动作权限和数据范围。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用户具备导出或报告权限，当前查询已完成且筛选合法；导出列不得超出字段权限，任务配额未超限。</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沿用当前筛选与列权限，选择导出范围或报告格式；任务进入进度中心，完成后提供限时下载。</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服务端冻结查询条件和dataScope并创建异步任务；逐条校验权限、版本和状态，返回成功、失败及原因明细。需用途和权限，导出行为自身也记录。</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审计日志追加写不可更新删除。所有校验必须由服务端再次执行，前端校验只用于即时反馈。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界面创建导出审计任务并显示任务编号、生成进度、有效期和下载入口；下载内容与任务冻结的筛选及列权限一致。</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小程序代客或客户自助操作记录渠道和身份。跨端消息只携带业务编号，接收端打开后重新鉴权并查询最新状态。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相同筛选和字段权限生成的导出审计数据量与列表一致；重复提交复用幂等结果，越权字段不进入文件。</w:t>
      </w:r>
    </w:p>
    <w:p>
      <w:pPr>
        <w:pStyle w:val="Heading2"/>
      </w:pPr>
      <w:r>
        <w:t>6.5 归档与校验</w:t>
      </w:r>
    </w:p>
    <w:p>
      <w:pPr>
        <w:spacing w:after="80"/>
      </w:pPr>
      <w:r>
        <w:rPr>
          <w:rFonts w:ascii="Calibri" w:hAnsi="Calibri" w:eastAsia="Microsoft YaHei"/>
          <w:b/>
          <w:color w:val="1F2937"/>
          <w:sz w:val="19"/>
        </w:rPr>
        <w:t>功能编号：</w:t>
      </w:r>
      <w:r>
        <w:rPr>
          <w:rFonts w:ascii="Calibri" w:hAnsi="Calibri" w:eastAsia="Microsoft YaHei"/>
          <w:b w:val="0"/>
          <w:color w:val="1F2937"/>
          <w:sz w:val="19"/>
        </w:rPr>
        <w:t>OS-OPS-PRD-30-FP05。功能目的为按保留策略归档并验证完整性。</w:t>
      </w:r>
    </w:p>
    <w:p>
      <w:pPr>
        <w:spacing w:after="80"/>
      </w:pPr>
      <w:r>
        <w:rPr>
          <w:rFonts w:ascii="Calibri" w:hAnsi="Calibri" w:eastAsia="Microsoft YaHei"/>
          <w:b/>
          <w:color w:val="1F2937"/>
          <w:sz w:val="19"/>
        </w:rPr>
        <w:t>使用角色与入口：</w:t>
      </w:r>
      <w:r>
        <w:rPr>
          <w:rFonts w:ascii="Calibri" w:hAnsi="Calibri" w:eastAsia="Microsoft YaHei"/>
          <w:b w:val="0"/>
          <w:color w:val="1F2937"/>
          <w:sz w:val="19"/>
        </w:rPr>
        <w:t>对象负责人或具备状态管理权限的管理员；从列表行操作或详情页状态动作区进入。入口显示前先校验菜单权限、动作权限和数据范围。</w:t>
      </w:r>
    </w:p>
    <w:p>
      <w:pPr>
        <w:spacing w:after="80"/>
      </w:pPr>
      <w:r>
        <w:rPr>
          <w:rFonts w:ascii="Calibri" w:hAnsi="Calibri" w:eastAsia="Microsoft YaHei"/>
          <w:b/>
          <w:color w:val="1F2937"/>
          <w:sz w:val="19"/>
        </w:rPr>
        <w:t>前置条件：</w:t>
      </w:r>
      <w:r>
        <w:rPr>
          <w:rFonts w:ascii="Calibri" w:hAnsi="Calibri" w:eastAsia="Microsoft YaHei"/>
          <w:b w:val="0"/>
          <w:color w:val="1F2937"/>
          <w:sz w:val="19"/>
        </w:rPr>
        <w:t>用户登录有效；目标对象存在且属于用户dataScope；当前状态包含该动作；页面持有最新version和allowedActions。涉及金额、库存、附件或第三方结果时必须回源确认。</w:t>
      </w:r>
    </w:p>
    <w:p>
      <w:pPr>
        <w:spacing w:after="80"/>
      </w:pPr>
      <w:r>
        <w:rPr>
          <w:rFonts w:ascii="Calibri" w:hAnsi="Calibri" w:eastAsia="Microsoft YaHei"/>
          <w:b/>
          <w:color w:val="1F2937"/>
          <w:sz w:val="19"/>
        </w:rPr>
        <w:t>界面操作：</w:t>
      </w:r>
      <w:r>
        <w:rPr>
          <w:rFonts w:ascii="Calibri" w:hAnsi="Calibri" w:eastAsia="Microsoft YaHei"/>
          <w:b w:val="0"/>
          <w:color w:val="1F2937"/>
          <w:sz w:val="19"/>
        </w:rPr>
        <w:t>在详情或行操作中触发归档与校验，界面展示当前状态、目标状态、影响范围和原因；高风险动作二次确认。</w:t>
      </w:r>
    </w:p>
    <w:p>
      <w:pPr>
        <w:spacing w:after="80"/>
      </w:pPr>
      <w:r>
        <w:rPr>
          <w:rFonts w:ascii="Calibri" w:hAnsi="Calibri" w:eastAsia="Microsoft YaHei"/>
          <w:b/>
          <w:color w:val="1F2937"/>
          <w:sz w:val="19"/>
        </w:rPr>
        <w:t>系统处理：</w:t>
      </w:r>
      <w:r>
        <w:rPr>
          <w:rFonts w:ascii="Calibri" w:hAnsi="Calibri" w:eastAsia="Microsoft YaHei"/>
          <w:b w:val="0"/>
          <w:color w:val="1F2937"/>
          <w:sz w:val="19"/>
        </w:rPr>
        <w:t>服务端调用POST /ops/v1/audit-logs/{id}/actions/{action}，校验权限、当前状态、expectedVersion和业务不变量，在事务中写入状态及时间线。按保留策略归档并验证完整性。</w:t>
      </w:r>
    </w:p>
    <w:p>
      <w:pPr>
        <w:spacing w:after="80"/>
      </w:pPr>
      <w:r>
        <w:rPr>
          <w:rFonts w:ascii="Calibri" w:hAnsi="Calibri" w:eastAsia="Microsoft YaHei"/>
          <w:b/>
          <w:color w:val="1F2937"/>
          <w:sz w:val="19"/>
        </w:rPr>
        <w:t>业务规则：</w:t>
      </w:r>
      <w:r>
        <w:rPr>
          <w:rFonts w:ascii="Calibri" w:hAnsi="Calibri" w:eastAsia="Microsoft YaHei"/>
          <w:b w:val="0"/>
          <w:color w:val="1F2937"/>
          <w:sz w:val="19"/>
        </w:rPr>
        <w:t>审计日志追加写不可更新删除；记录操作者主体、代理主体和客户端。所有校验必须由服务端再次执行，前端校验只用于即时反馈。</w:t>
      </w:r>
    </w:p>
    <w:p>
      <w:pPr>
        <w:spacing w:after="80"/>
      </w:pPr>
      <w:r>
        <w:rPr>
          <w:rFonts w:ascii="Calibri" w:hAnsi="Calibri" w:eastAsia="Microsoft YaHei"/>
          <w:b/>
          <w:color w:val="1F2937"/>
          <w:sz w:val="19"/>
        </w:rPr>
        <w:t>成功结果：</w:t>
      </w:r>
      <w:r>
        <w:rPr>
          <w:rFonts w:ascii="Calibri" w:hAnsi="Calibri" w:eastAsia="Microsoft YaHei"/>
          <w:b w:val="0"/>
          <w:color w:val="1F2937"/>
          <w:sz w:val="19"/>
        </w:rPr>
        <w:t>页面提示“归档与校验成功”，刷新对象状态、version、allowedActions、关联对象和时间线；如产生异步任务，同时显示任务编号和进度入口。</w:t>
      </w:r>
    </w:p>
    <w:p>
      <w:pPr>
        <w:spacing w:after="80"/>
      </w:pPr>
      <w:r>
        <w:rPr>
          <w:rFonts w:ascii="Calibri" w:hAnsi="Calibri" w:eastAsia="Microsoft YaHei"/>
          <w:b/>
          <w:color w:val="1F2937"/>
          <w:sz w:val="19"/>
        </w:rPr>
        <w:t>异常与恢复：</w:t>
      </w:r>
      <w:r>
        <w:rPr>
          <w:rFonts w:ascii="Calibri" w:hAnsi="Calibri" w:eastAsia="Microsoft YaHei"/>
          <w:b w:val="0"/>
          <w:color w:val="1F2937"/>
          <w:sz w:val="19"/>
        </w:rPr>
        <w:t>400定位到具体字段并保留输入；403隐藏敏感内容并记录拒绝审计；409展示最新状态并要求刷新；超时先按clientRequestId查询执行结果；部分成功展示逐项明细和补偿入口。</w:t>
      </w:r>
    </w:p>
    <w:p>
      <w:pPr>
        <w:spacing w:after="80"/>
      </w:pPr>
      <w:r>
        <w:rPr>
          <w:rFonts w:ascii="Calibri" w:hAnsi="Calibri" w:eastAsia="Microsoft YaHei"/>
          <w:b/>
          <w:color w:val="1F2937"/>
          <w:sz w:val="19"/>
        </w:rPr>
        <w:t>跨端影响：</w:t>
      </w:r>
      <w:r>
        <w:rPr>
          <w:rFonts w:ascii="Calibri" w:hAnsi="Calibri" w:eastAsia="Microsoft YaHei"/>
          <w:b w:val="0"/>
          <w:color w:val="1F2937"/>
          <w:sz w:val="19"/>
        </w:rPr>
        <w:t>工单小程序离线补传保留设备时间和服务端接收时间。跨端消息只携带业务编号，接收端打开后重新鉴权并查询最新状态。</w:t>
      </w:r>
    </w:p>
    <w:p>
      <w:pPr>
        <w:spacing w:after="80"/>
      </w:pPr>
      <w:r>
        <w:rPr>
          <w:rFonts w:ascii="Calibri" w:hAnsi="Calibri" w:eastAsia="Microsoft YaHei"/>
          <w:b/>
          <w:color w:val="1F2937"/>
          <w:sz w:val="19"/>
        </w:rPr>
        <w:t>验收条件：</w:t>
      </w:r>
      <w:r>
        <w:rPr>
          <w:rFonts w:ascii="Calibri" w:hAnsi="Calibri" w:eastAsia="Microsoft YaHei"/>
          <w:b w:val="0"/>
          <w:color w:val="1F2937"/>
          <w:sz w:val="19"/>
        </w:rPr>
        <w:t>在允许状态下完成归档与校验时仅产生一次预期数据变化和一次审计记录；越权、错误状态、重复提交及版本冲突均不得产生重复对象或越级状态。</w:t>
      </w:r>
    </w:p>
    <w:p>
      <w:pPr>
        <w:pStyle w:val="Heading2"/>
      </w:pPr>
      <w:r>
        <w:t>6.6 标准写操作时序</w:t>
      </w:r>
    </w:p>
    <w:p>
      <w:pPr>
        <w:pStyle w:val="ListBullet"/>
      </w:pPr>
      <w:r>
        <w:t>用户触发操作后，前端先校验可见字段和附件状态</w:t>
      </w:r>
    </w:p>
    <w:p>
      <w:pPr>
        <w:pStyle w:val="ListBullet"/>
      </w:pPr>
      <w:r>
        <w:t>提交clientRequestId、expectedVersion和业务参数</w:t>
      </w:r>
    </w:p>
    <w:p>
      <w:pPr>
        <w:pStyle w:val="ListBullet"/>
      </w:pPr>
      <w:r>
        <w:t>服务端校验身份、权限、数据范围、对象状态和业务不变量</w:t>
      </w:r>
    </w:p>
    <w:p>
      <w:pPr>
        <w:pStyle w:val="ListBullet"/>
      </w:pPr>
      <w:r>
        <w:t>事务提交后返回业务编号、version、状态、allowedActions和副作用任务编号</w:t>
      </w:r>
    </w:p>
    <w:p>
      <w:pPr>
        <w:pStyle w:val="ListBullet"/>
      </w:pPr>
      <w:r>
        <w:t>前端以返回结果刷新详情；通知、搜索和统计允许最终一致</w:t>
      </w:r>
    </w:p>
    <w:p>
      <w:pPr>
        <w:pStyle w:val="ListBullet"/>
      </w:pPr>
      <w:r>
        <w:t>409版本冲突时展示最新摘要，要求用户刷新后重新操作</w:t>
      </w:r>
    </w:p>
    <w:p>
      <w:pPr>
        <w:pStyle w:val="Heading1"/>
      </w:pPr>
      <w:r>
        <w:t>7 状态机与业务规则</w:t>
      </w:r>
    </w:p>
    <w:tbl>
      <w:tblPr>
        <w:tblStyle w:val="TableGrid"/>
        <w:tblW w:type="dxa" w:w="10728"/>
        <w:jc w:val="center"/>
        <w:tblLayout w:type="fixed"/>
        <w:tblLook w:firstColumn="1" w:firstRow="1" w:lastColumn="0" w:lastRow="0" w:noHBand="0" w:noVBand="1" w:val="04A0"/>
      </w:tblPr>
      <w:tblGrid>
        <w:gridCol w:w="1944"/>
        <w:gridCol w:w="5040"/>
        <w:gridCol w:w="3744"/>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对象</w:t>
            </w:r>
          </w:p>
        </w:tc>
        <w:tc>
          <w:tcPr>
            <w:tcW w:type="dxa" w:w="5040"/>
            <w:shd w:fill="17365D"/>
            <w:tcMar>
              <w:top w:w="75" w:type="dxa"/>
              <w:start w:w="100" w:type="dxa"/>
              <w:bottom w:w="75" w:type="dxa"/>
              <w:end w:w="100" w:type="dxa"/>
            </w:tcMar>
            <w:vAlign w:val="center"/>
          </w:tcPr>
          <w:p>
            <w:r>
              <w:rPr>
                <w:rFonts w:ascii="Calibri" w:hAnsi="Calibri" w:eastAsia="Microsoft YaHei"/>
                <w:b/>
                <w:color w:val="FFFFFF"/>
                <w:sz w:val="16"/>
              </w:rPr>
              <w:t>状态流转</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控制要求</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操作审计</w:t>
            </w:r>
          </w:p>
        </w:tc>
        <w:tc>
          <w:tcPr>
            <w:tcW w:type="dxa" w:w="50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写入中→已落库；归档中→已归档/失败；风险：普通→关注→高风险</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状态变化必须由明确动作触发并写入操作者、时间、原因和版本。</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异步任务</w:t>
            </w:r>
          </w:p>
        </w:tc>
        <w:tc>
          <w:tcPr>
            <w:tcW w:type="dxa" w:w="50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待执行→执行中→成功/失败→重试/人工处理</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异步失败不回滚已提交主事务，但必须可见、可重试和可审计。</w:t>
            </w:r>
          </w:p>
        </w:tc>
      </w:tr>
    </w:tbl>
    <w:p>
      <w:pPr>
        <w:spacing w:after="0"/>
      </w:pP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业务规则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OS-OPS-PRD-30-R01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审计日志追加写不可更新删除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OS-OPS-PRD-30-R02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记录操作者主体、代理主体和客户端</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OS-OPS-PRD-30-R03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敏感原文不进入普通日志</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OS-OPS-PRD-30-R04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关键日志保存哈希或签名</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OS-OPS-PRD-30-R05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保留期和访问权限按日志类别配置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OS-OPS-PRD-30-R06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所有写请求携带clientRequestId和expectedVersion，重复请求返回首次结果</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OS-OPS-PRD-30-R07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服务端返回allowedActions，前端仅据此展示按钮，后端仍逐动作鉴权</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OS-OPS-PRD-30-R08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列表、详情、关联选择器、统计和导出使用同一数据范围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OS-OPS-PRD-30-R09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创建、编辑、状态流转、导出、下载和审批均记录操作审计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OS-OPS-PRD-30-R10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第三方调用失败不得伪装主业务成功，进入可重试或人工处理状态</w:t>
            </w:r>
          </w:p>
        </w:tc>
      </w:tr>
    </w:tbl>
    <w:p>
      <w:pPr>
        <w:spacing w:after="0"/>
      </w:pPr>
    </w:p>
    <w:p>
      <w:pPr>
        <w:pStyle w:val="Heading1"/>
      </w:pPr>
      <w:r>
        <w:t>8 业务处理链路</w:t>
      </w:r>
    </w:p>
    <w:p>
      <w:pPr>
        <w:pStyle w:val="ListBullet"/>
      </w:pPr>
      <w:r>
        <w:t>该模块以配置、查询或治理操作为主，不单独建立客户履约BPMN</w:t>
      </w:r>
    </w:p>
    <w:p>
      <w:pPr>
        <w:pStyle w:val="ListBullet"/>
      </w:pPr>
      <w:r>
        <w:t>如操作触发下游状态变化，使用领域事件并在目标模块流程中处理</w:t>
      </w:r>
    </w:p>
    <w:p>
      <w:pPr>
        <w:pStyle w:val="ListBullet"/>
      </w:pPr>
      <w:r>
        <w:t>批量、导出和异步任务必须提供任务状态、结果下载和失败明细</w:t>
      </w:r>
    </w:p>
    <w:p>
      <w:pPr>
        <w:pStyle w:val="Heading1"/>
      </w:pPr>
      <w:r>
        <w:t>9 跨端交互规则</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规则ID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交互规则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OS-OPS-PRD-30-X01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小程序代客或客户自助操作记录渠道和身份</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OS-OPS-PRD-30-X02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工单小程序离线补传保留设备时间和服务端接收时间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OS-OPS-PRD-30-X03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第三方回调记录验签结果和外部交易号</w:t>
            </w:r>
          </w:p>
        </w:tc>
      </w:tr>
    </w:tbl>
    <w:p>
      <w:pPr>
        <w:spacing w:after="0"/>
      </w:pPr>
    </w:p>
    <w:p>
      <w:pPr>
        <w:pStyle w:val="ListBullet"/>
      </w:pPr>
      <w:r>
        <w:t>客户小程序仅访问本人客户编号关联数据；内部小程序仅访问本人或团队任务</w:t>
      </w:r>
    </w:p>
    <w:p>
      <w:pPr>
        <w:pStyle w:val="ListBullet"/>
      </w:pPr>
      <w:r>
        <w:t>深链只携带业务编号，不携带敏感原文；打开后重新校验登录、权限和最新状态</w:t>
      </w:r>
    </w:p>
    <w:p>
      <w:pPr>
        <w:pStyle w:val="ListBullet"/>
      </w:pPr>
      <w:r>
        <w:t>客户端缓存仅用于展示，金额、库存、状态和allowedActions必须回源</w:t>
      </w:r>
    </w:p>
    <w:p>
      <w:pPr>
        <w:pStyle w:val="ListBullet"/>
      </w:pPr>
      <w:r>
        <w:t>离线或网络重试沿用同一clientRequestId，禁止产生重复业务对象</w:t>
      </w:r>
    </w:p>
    <w:p>
      <w:pPr>
        <w:pStyle w:val="Heading1"/>
      </w:pPr>
      <w:r>
        <w:t>10 接口与事件契约</w:t>
      </w:r>
    </w:p>
    <w:tbl>
      <w:tblPr>
        <w:tblStyle w:val="TableGrid"/>
        <w:tblW w:type="dxa" w:w="10224"/>
        <w:jc w:val="center"/>
        <w:tblLayout w:type="fixed"/>
        <w:tblLook w:firstColumn="1" w:firstRow="1" w:lastColumn="0" w:lastRow="0" w:noHBand="0" w:noVBand="1" w:val="04A0"/>
      </w:tblPr>
      <w:tblGrid>
        <w:gridCol w:w="1728"/>
        <w:gridCol w:w="3672"/>
        <w:gridCol w:w="4824"/>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6"/>
              </w:rPr>
              <w:t>契约</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建议路径或事件</w:t>
            </w:r>
          </w:p>
        </w:tc>
        <w:tc>
          <w:tcPr>
            <w:tcW w:type="dxa" w:w="4824"/>
            <w:shd w:fill="17365D"/>
            <w:tcMar>
              <w:top w:w="75" w:type="dxa"/>
              <w:start w:w="100" w:type="dxa"/>
              <w:bottom w:w="75" w:type="dxa"/>
              <w:end w:w="100" w:type="dxa"/>
            </w:tcMar>
            <w:vAlign w:val="center"/>
          </w:tcPr>
          <w:p>
            <w:r>
              <w:rPr>
                <w:rFonts w:ascii="Calibri" w:hAnsi="Calibri" w:eastAsia="Microsoft YaHei"/>
                <w:b/>
                <w:color w:val="FFFFFF"/>
                <w:sz w:val="16"/>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列表查询</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GET /ops/v1/audit-logs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分页、排序、筛选、dataScope、字段脱敏和总数</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详情查询</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GET /ops/v1/audit-logs/{id}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返回version、关联对象、时间线和allowedActions</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新增</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/ops/v1/audit-logs</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使用clientRequestId幂等，返回业务编号</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编辑</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PATCH /ops/v1/audit-logs/{id}</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使用expectedVersion，冲突返回409</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状态动作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POST /ops/v1/audit-logs/{id}/actions/{action}</w:t>
            </w:r>
          </w:p>
        </w:tc>
        <w:tc>
          <w:tcPr>
            <w:tcW w:type="dxa" w:w="482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动作级权限、状态前置条件和原因</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领域事件</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操作审计.Changed.v1</w:t>
            </w:r>
          </w:p>
        </w:tc>
        <w:tc>
          <w:tcPr>
            <w:tcW w:type="dxa" w:w="482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包含eventId、aggregateId、version、occurredAt和最小业务数据</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1944"/>
        <w:gridCol w:w="4608"/>
        <w:gridCol w:w="3672"/>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6"/>
              </w:rPr>
              <w:t>系统处理</w:t>
            </w:r>
          </w:p>
        </w:tc>
        <w:tc>
          <w:tcPr>
            <w:tcW w:type="dxa" w:w="3672"/>
            <w:shd w:fill="17365D"/>
            <w:tcMar>
              <w:top w:w="75" w:type="dxa"/>
              <w:start w:w="100" w:type="dxa"/>
              <w:bottom w:w="75" w:type="dxa"/>
              <w:end w:w="100" w:type="dxa"/>
            </w:tcMar>
            <w:vAlign w:val="center"/>
          </w:tcPr>
          <w:p>
            <w:r>
              <w:rPr>
                <w:rFonts w:ascii="Calibri" w:hAnsi="Calibri" w:eastAsia="Microsoft YaHei"/>
                <w:b/>
                <w:color w:val="FFFFFF"/>
                <w:sz w:val="16"/>
              </w:rPr>
              <w:t>用户反馈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字段校验失败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返回400及字段级错误，不写业务数据</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定位到字段并保留其他输入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无权限或超出数据范围</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返回403并记录拒绝审计</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提示无权执行，不泄露对象内容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对象不存在</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返回404</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显示记录不存在或已移除</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版本冲突</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返回409和最新version摘要</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要求刷新，不执行最后写入覆盖</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重复请求</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按幂等键返回首次结果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显示原业务编号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第三方超时</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状态进入处理中或失败待重试</w:t>
            </w:r>
          </w:p>
        </w:tc>
        <w:tc>
          <w:tcPr>
            <w:tcW w:type="dxa" w:w="36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显示任务编号和可重试条件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附件失败</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不提交依赖附件的业务动作</w:t>
            </w:r>
          </w:p>
        </w:tc>
        <w:tc>
          <w:tcPr>
            <w:tcW w:type="dxa" w:w="36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显示失败文件和重新上传入口</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列表逐列与本文档字段一致，筛选、分页、排序和导出使用同一查询条件。</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新增和编辑表单覆盖本文档全部字段，必填、格式、关联对象和跨字段校验可复现。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每个操作仅在allowedActions允许时显示，直接调用接口仍执行权限与状态校验。</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状态流转、时间线、关联编号和领域事件一致，重复提交不产生重复副作用。</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客户小程序和工单小程序显示的编号、状态、金额和节点时间与后台详情一致。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400、403、404、409、第三方失败、附件失败和空数据均有明确页面反馈。</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OS-OPS-PRD-30-AC07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敏感字段在列表、详情、导出和日志中按权限脱敏，查看原文和下载均有审计。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OS-OPS-PRD-30-AC08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P0接口具备单元、状态机、权限、幂等和并发自动化测试。</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16"/>
        <w:gridCol w:w="8208"/>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8"/>
              </w:rPr>
              <w:t>工作包</w:t>
            </w:r>
          </w:p>
        </w:tc>
        <w:tc>
          <w:tcPr>
            <w:tcW w:type="dxa" w:w="8208"/>
            <w:shd w:fill="17365D"/>
            <w:tcMar>
              <w:top w:w="75" w:type="dxa"/>
              <w:start w:w="100" w:type="dxa"/>
              <w:bottom w:w="75" w:type="dxa"/>
              <w:end w:w="100" w:type="dxa"/>
            </w:tcMar>
            <w:vAlign w:val="center"/>
          </w:tcPr>
          <w:p>
            <w:r>
              <w:rPr>
                <w:rFonts w:ascii="Calibri" w:hAnsi="Calibri" w:eastAsia="Microsoft YaHei"/>
                <w:b/>
                <w:color w:val="FFFFFF"/>
                <w:sz w:val="18"/>
              </w:rPr>
              <w:t>交付内容</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运营后台前端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列表、筛选、详情、表单、动作、权限态、异常态和埋点</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领域后端</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数据模型、状态机、校验、权限、幂等、接口和领域事件</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跨端</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客户小程序或工单小程序入口、展示、申请、通知和深链</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测试</w:t>
            </w:r>
          </w:p>
        </w:tc>
        <w:tc>
          <w:tcPr>
            <w:tcW w:type="dxa" w:w="82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字段、状态、权限、并发、异常、跨端一致性和回归用例</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数据与实施</w:t>
            </w:r>
          </w:p>
        </w:tc>
        <w:tc>
          <w:tcPr>
            <w:tcW w:type="dxa" w:w="82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字典、主数据、迁移映射、指标口径和运营配置</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V2.5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OS-OPS-PRD-30  |  操作审计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