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领域事件总线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OS-OPS-PRD-32  |  V2.5  |  2026-09-09</w:t>
      </w:r>
    </w:p>
    <w:p>
      <w:pPr>
        <w:spacing w:before="1440"/>
        <w:jc w:val="center"/>
      </w:pPr>
      <w:r>
        <w:rPr>
          <w:rFonts w:ascii="Calibri" w:hAnsi="Calibri" w:eastAsia="Microsoft YaHei"/>
          <w:b w:val="0"/>
          <w:color w:val="1F2937"/>
          <w:sz w:val="22"/>
        </w:rPr>
        <w:t>用版本化领域事件同步订单、付款、仓位、预约、工单、通知和分析，保证可重放、可追踪和最终一致。</w:t>
      </w:r>
    </w:p>
    <w:p>
      <w:r>
        <w:br w:type="page"/>
      </w:r>
    </w:p>
    <w:p>
      <w:pPr>
        <w:pStyle w:val="Heading1"/>
      </w:pPr>
      <w:r>
        <w:t>1 文档目标与范围</w:t>
      </w:r>
    </w:p>
    <w:p>
      <w:r>
        <w:t>用版本化领域事件同步订单、付款、仓位、预约、工单、通知和分析，保证可重放、可追踪和最终一致。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OS-OPS-PRD-32</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5-orders-detail.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领域事件关联界面 订单状态与业务时间线</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OS-OPS-PRD-32-FP01 发布事件；OS-OPS-PRD-32-FP02 消费；OS-OPS-PRD-32-FP03 查看链路；OS-OPS-PRD-32-FP04 重试或重放；OS-OPS-PRD-32-FP05 处理死信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详情页由对象摘要、关联业务、可执行动作、附件凭证和状态时间线组成。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动作按钮完全依据allowedActions显示；每次动作后回源刷新状态、版本和时间线，冲突时禁止旧数据覆盖。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事件ID、类型或聚合编号</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生产者</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消费者</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发生时间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重试次数</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事件类型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聚合类型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事件版本</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生产者</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消费者</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触发条件</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分区键</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重试策略</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死信状态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敏感级别</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保留期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以标签显示服务端枚举；不可由前端自行推导。</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事件类型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Schema版本</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聚合类型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分区键</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生产者</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消费者</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字段Schema</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敏感字段</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重试次数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退避策略</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死信处理</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OS-OPS-PRD-32-F12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保留期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OS-OPS-PRD-32-F13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用户从列表行的查看入口、业务编号链接或关联对象深链打开详情。界面设计依据原型中的“领域事件关联界面 订单状态与业务时间线”真实截图；原型未提供独立详情画面时，不生成示例截图，研发按本文档定义在现有列表视觉体系中实现右侧抽屉或独立详情页。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事件类型、聚合类型、事件版本、生产者、消费者、触发条件、分区键、重试策略、敏感级别、保留期、Schema版本、字段Schema、敏感字段、退避策略、死信处理</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负责人</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重试次数</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死信状态、状态</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待发布→已发布→消费中→已消费；失败→重试→死信→人工重放</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生产者、消费者、Schema版本、聚合、分区、投递尝试、消费结果、死信与重放记录</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OS-OPS-PRD-32-DA01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发布事件</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业务事务提交后通过outbox发布。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OS-OPS-PRD-32-DA02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消费</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按eventId和consumer幂等。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OS-OPS-PRD-32-DA03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查看链路</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拥有对应dataScope的查询用户</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用户登录有效，拥有菜单和对象查看权限，查询条件属于dataScope；打开详情时对象存在。敏感字段、金额和状态必须回源。</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串联业务请求、事件和消费者结果。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OS-OPS-PRD-32-DA04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重试或重放</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选择范围并评估副作用。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OS-OPS-PRD-32-DA05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处理死信</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修复原因后人工确认重放。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/ops/v1/domain-events/{id}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/ops/v1/domain-events/{id}/timeline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/ops/v1/domain-events/{id}/relations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/ops/v1/domain-events/{id}/activities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/ops/v1/domain-events/{id}/actions/{actionCode}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领域事件总线.DetailChanged.v1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发布事件</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业务事务提交后通过outbox发布。</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消费</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按eventId和consumer幂等。</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查看链路</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串联业务请求、事件和消费者结果。</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OS-OPS-PRD-32-FP04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重试或重放</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选择范围并评估副作用。</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OS-OPS-PRD-32-FP05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处理死信</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修复原因后人工确认重放。</w:t>
            </w:r>
          </w:p>
        </w:tc>
      </w:tr>
    </w:tbl>
    <w:p>
      <w:pPr>
        <w:spacing w:after="0"/>
      </w:pPr>
    </w:p>
    <w:p>
      <w:pPr>
        <w:pStyle w:val="Heading2"/>
      </w:pPr>
      <w:r>
        <w:t>6.1 发布事件</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OS-OPS-PRD-32-FP01。功能目的为业务事务提交后通过outbox发布。</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在详情或行操作中触发发布事件，界面展示当前状态、目标状态、影响范围和原因；高风险动作二次确认。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/ops/v1/domain-events/{id}/actions/{action}，校验权限、当前状态、expectedVersion和业务不变量，在事务中写入状态及时间线。业务事务提交后通过outbox发布。</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事件不可承载不必要的敏感原文。所有校验必须由服务端再次执行，前端校验只用于即时反馈。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页面提示“发布事件成功”，刷新对象状态、version、allowedActions、关联对象和时间线；如产生异步任务，同时显示任务编号和进度入口。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小程序不直接消费内部事件，由BFF提供状态。跨端消息只携带业务编号，接收端打开后重新鉴权并查询最新状态。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在允许状态下完成发布事件时仅产生一次预期数据变化和一次审计记录；越权、错误状态、重复提交及版本冲突均不得产生重复对象或越级状态。</w:t>
      </w:r>
    </w:p>
    <w:p>
      <w:pPr>
        <w:pStyle w:val="Heading2"/>
      </w:pPr>
      <w:r>
        <w:t>6.2 消费</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OS-OPS-PRD-32-FP02。功能目的为按eventId和consumer幂等。</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在详情页执行消费，填写或核对负责人、死信状态、状态；界面随步骤显示当前节点、下一步和可撤回条件。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/ops/v1/domain-events/{id}/actions/{action}，校验权限、当前状态、expectedVersion和业务不变量，在事务中写入状态及时间线。按eventId和consumer幂等。</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消费者必须幂等。所有校验必须由服务端再次执行，前端校验只用于即时反馈。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页面提示“消费成功”，刷新对象状态、version、allowedActions、关联对象和时间线；如产生异步任务，同时显示任务编号和进度入口。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工单节点事件更新后台和客户可见进度。跨端消息只携带业务编号，接收端打开后重新鉴权并查询最新状态。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在允许状态下完成消费时仅产生一次预期数据变化和一次审计记录；越权、错误状态、重复提交及版本冲突均不得产生重复对象或越级状态。</w:t>
      </w:r>
    </w:p>
    <w:p>
      <w:pPr>
        <w:pStyle w:val="Heading2"/>
      </w:pPr>
      <w:r>
        <w:t>6.3 查看链路</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OS-OPS-PRD-32-FP03。功能目的为串联业务请求、事件和消费者结果。</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从卡片、列表或关联编号进入，加载负责人、死信状态、状态及时间线；切换页签或筛选不改变主对象，返回时保留来源页条件。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/ops/v1/domain-events；返回version、关联对象、时间线和allowedActions。串联业务请求、事件和消费者结果。</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界面完成查看链路并显示最新数据、截止时间、关联对象和允许操作；查询本身不改变业务状态。涉及敏感原文查看时单独记录访问审计。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通知、搜索和分析允许最终一致，详情读取主域。跨端消息只携带业务编号，接收端打开后重新鉴权并查询最新状态。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查看链路只返回dataScope内且按权限脱敏的数据；刷新前后无业务写入，筛选、详情和导出对同一对象的字段值一致。</w:t>
      </w:r>
    </w:p>
    <w:p>
      <w:pPr>
        <w:pStyle w:val="Heading2"/>
      </w:pPr>
      <w:r>
        <w:t>6.4 重试或重放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OS-OPS-PRD-32-FP04。功能目的为选择范围并评估副作用。</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在详情页执行重试或重放，填写或核对负责人、死信状态、状态；界面随步骤显示当前节点、下一步和可撤回条件。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/ops/v1/domain-events/{id}/actions/{action}，校验权限、当前状态、expectedVersion和业务不变量，在事务中写入状态及时间线。选择范围并评估副作用。</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重放不重复发券、扣款、退款或通知。所有校验必须由服务端再次执行，前端校验只用于即时反馈。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页面提示“重试或重放成功”，刷新对象状态、version、allowedActions、关联对象和时间线；如产生异步任务，同时显示任务编号和进度入口。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小程序不直接消费内部事件，由BFF提供状态。跨端消息只携带业务编号，接收端打开后重新鉴权并查询最新状态。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在允许状态下完成重试或重放时仅产生一次预期数据变化和一次审计记录；越权、错误状态、重复提交及版本冲突均不得产生重复对象或越级状态。</w:t>
      </w:r>
    </w:p>
    <w:p>
      <w:pPr>
        <w:pStyle w:val="Heading2"/>
      </w:pPr>
      <w:r>
        <w:t>6.5 处理死信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OS-OPS-PRD-32-FP05。功能目的为修复原因后人工确认重放。</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在详情页执行处理死信，填写或核对负责人、死信状态、状态；界面随步骤显示当前节点、下一步和可撤回条件。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/ops/v1/domain-events/{id}/actions/{action}，校验权限、当前状态、expectedVersion和业务不变量，在事务中写入状态及时间线。修复原因后人工确认重放。</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事件不可承载不必要的敏感原文；同一聚合使用稳定分区键保证顺序。所有校验必须由服务端再次执行，前端校验只用于即时反馈。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页面提示“处理死信成功”，刷新对象状态、version、allowedActions、关联对象和时间线；如产生异步任务，同时显示任务编号和进度入口。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工单节点事件更新后台和客户可见进度。跨端消息只携带业务编号，接收端打开后重新鉴权并查询最新状态。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在允许状态下完成处理死信时仅产生一次预期数据变化和一次审计记录；越权、错误状态、重复提交及版本冲突均不得产生重复对象或越级状态。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领域事件总线</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待发布→已发布→消费中→已消费；失败→重试→死信→人工重放</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事件不可承载不必要的敏感原文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同一聚合使用稳定分区键保证顺序</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消费者必须幂等</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Schema演进向后兼容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重放不重复发券、扣款、退款或通知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小程序不直接消费内部事件，由BFF提供状态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工单节点事件更新后台和客户可见进度</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通知、搜索和分析允许最终一致，详情读取主域</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/ops/v1/domain-events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/ops/v1/domain-events/{id}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/ops/v1/domain-events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/ops/v1/domain-events/{id}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/ops/v1/domain-events/{id}/actions/{action}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领域事件总线.Changed.v1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OS-OPS-PRD-32-AC07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OS-OPS-PRD-32-AC08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OS-OPS-PRD-32  |  领域事件总线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