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 w:eastAsia="Microsoft YaHei"/>
          <w:b/>
          <w:color w:val="000000"/>
          <w:sz w:val="48"/>
        </w:rPr>
        <w:t>迷你仓退租 PRD</w:t>
      </w:r>
    </w:p>
    <w:p>
      <w:r>
        <w:rPr>
          <w:rFonts w:ascii="Arial" w:hAnsi="Arial" w:eastAsia="Microsoft YaHei"/>
          <w:b w:val="0"/>
          <w:color w:val="667085"/>
          <w:sz w:val="21"/>
        </w:rPr>
        <w:t>客户小程序研发详细需求规格 | V2.0 | 2026-09-08</w:t>
      </w:r>
    </w:p>
    <w:p>
      <w:r>
        <w:rPr>
          <w:rFonts w:ascii="Arial" w:hAnsi="Arial" w:eastAsia="Microsoft YaHei"/>
          <w:b w:val="0"/>
          <w:color w:val="000000"/>
          <w:sz w:val="22"/>
        </w:rPr>
        <w:t>定义退租申请、清仓预约、现场验收、费用与按金结算、合约终止和仓位释放。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2088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7416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文档编号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MP-ST-05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适用端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OneStorage 客户小程序、运营后台、工单小程序及相关领域服务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范围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退租资格、日期与原因、欠费提示、清仓预约、验收、结算、退款进度。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不在本模块范围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财务实际打款和仓位维修作业。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8"/>
              </w:rPr>
              <w:t>研发用途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8"/>
              </w:rPr>
              <w:t>页面拆分、接口联调、服务端状态机、测试用例和跨端验收的共同基线</w:t>
            </w:r>
          </w:p>
        </w:tc>
      </w:tr>
    </w:tbl>
    <w:p>
      <w:pPr>
        <w:spacing w:after="20"/>
      </w:pPr>
    </w:p>
    <w:p>
      <w:pPr>
        <w:pStyle w:val="Heading1"/>
      </w:pPr>
      <w:r>
        <w:t>1 目标与边界</w:t>
      </w:r>
    </w:p>
    <w:p>
      <w:r>
        <w:t>定义退租申请、清仓预约、现场验收、费用与按金结算、合约终止和仓位释放。</w:t>
      </w:r>
    </w:p>
    <w:p>
      <w:pPr>
        <w:pStyle w:val="Heading2"/>
      </w:pPr>
      <w:r>
        <w:t>1.1 本期范围</w:t>
      </w:r>
    </w:p>
    <w:p>
      <w:r>
        <w:t>退租资格、日期与原因、欠费提示、清仓预约、验收、结算、退款进度。</w:t>
      </w:r>
    </w:p>
    <w:p>
      <w:pPr>
        <w:pStyle w:val="Heading2"/>
      </w:pPr>
      <w:r>
        <w:t>1.2 不在本模块范围</w:t>
      </w:r>
    </w:p>
    <w:p>
      <w:r>
        <w:t>财务实际打款和仓位维修作业。</w:t>
      </w:r>
    </w:p>
    <w:p>
      <w:pPr>
        <w:pStyle w:val="Heading2"/>
      </w:pPr>
      <w:r>
        <w:t>1.3 角色与系统责任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22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角色或系统</w:t>
            </w:r>
          </w:p>
        </w:tc>
        <w:tc>
          <w:tcPr>
            <w:tcW w:type="dxa" w:w="72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职责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客户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浏览、选择、签约、付款、提交申请、查询进度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客户小程序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采集意图并展示服务端状态，不自行决定价格、库存、资格或审批结果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运营后台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维护主数据、价格、库存、可操作项、审批、异常处理和人工改派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工单小程序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承接送取、验收、搬仓、清仓等线下任务，回传节点、附件和异常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领域服务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保存订单、租约、箱体、预约、支付与合同的权威状态并发布事件</w:t>
            </w:r>
          </w:p>
        </w:tc>
      </w:tr>
    </w:tbl>
    <w:p>
      <w:pPr>
        <w:spacing w:after="20"/>
      </w:pPr>
    </w:p>
    <w:p>
      <w:pPr>
        <w:pStyle w:val="Heading1"/>
      </w:pPr>
      <w:r>
        <w:t>2 BPMN 业务流程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0145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torage-moveout-bpm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014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Microsoft YaHei"/>
          <w:b w:val="0"/>
          <w:color w:val="667085"/>
          <w:sz w:val="17"/>
        </w:rPr>
        <w:t>图 2-1 迷你仓退租 BPMN 流程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圆形表示开始或结束事件，圆角矩形表示任务，菱形表示服务端判断。跨泳道连线代表接口调用或事件同步。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运营后台与工单小程序不得直接覆盖客户侧状态；所有节点先写入领域服务，再通过事件刷新订单聚合视图。</w:t>
      </w:r>
    </w:p>
    <w:p>
      <w:pPr>
        <w:pStyle w:val="Heading1"/>
      </w:pPr>
      <w:r>
        <w:t>3 状态机与准入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16"/>
        <w:gridCol w:w="2416"/>
        <w:gridCol w:w="2416"/>
        <w:gridCol w:w="2416"/>
      </w:tblGrid>
      <w:tr>
        <w:trPr>
          <w:tblHeader/>
        </w:trPr>
        <w:tc>
          <w:tcPr>
            <w:tcW w:type="dxa" w:w="180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状态码</w:t>
            </w:r>
          </w:p>
        </w:tc>
        <w:tc>
          <w:tcPr>
            <w:tcW w:type="dxa" w:w="180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客户文案</w:t>
            </w:r>
          </w:p>
        </w:tc>
        <w:tc>
          <w:tcPr>
            <w:tcW w:type="dxa" w:w="338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进入条件</w:t>
            </w:r>
          </w:p>
        </w:tc>
        <w:tc>
          <w:tcPr>
            <w:tcW w:type="dxa" w:w="252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下一步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APPLIED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已申请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等待资料校验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确认预约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INSPECTION_SCHEDULED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已预约验收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保留门禁至预约结束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现场验收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SETTLING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结算中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验收完成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确认应退/应补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REFUNDING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退款中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应退金额已提交渠道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到账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PAYMENT_DUE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待补款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存在欠费或损坏费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付款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COMPLETED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已退租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租约终止且仓位释放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终态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CANCELLED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已撤销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未进入现场验收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恢复租用中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状态码是跨端契约，中文文案允许国际化配置但不得作为业务判断条件。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详情接口返回 orderVersion 或 aggregateVersion；任何写操作必须携带该版本并处理409并发冲突。</w:t>
      </w:r>
    </w:p>
    <w:p>
      <w:pPr>
        <w:pStyle w:val="Heading1"/>
      </w:pPr>
      <w:r>
        <w:t>4 页面与交互</w:t>
      </w:r>
    </w:p>
    <w:p>
      <w:r>
        <w:t>本节截图直接取自迷你仓小程序可交互原型的实际页面，用于前端布局、接口联调和验收对照。截图反映当前原型状态；业务权威值仍以服务端返回为准。</w:t>
      </w:r>
    </w:p>
    <w:p>
      <w:pPr>
        <w:pStyle w:val="Heading2"/>
      </w:pPr>
      <w:r>
        <w:t>4.1 退租申请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18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属性</w:t>
            </w:r>
          </w:p>
        </w:tc>
        <w:tc>
          <w:tcPr>
            <w:tcW w:type="dxa" w:w="76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建议路由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/pages/rental/moveout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入口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有效租约详情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页面字段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租约、到期日、最早退租日、期望日期、原因、优惠影响、欠费、按金、清仓声明、备注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主要操作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选择日期、确认规则、提交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通用状态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骨架屏、空态、无网络、超时、无权限、数据已变化、提交中、提交成功和提交失败必须分别实现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主按钮在提交期间禁用并显示加载态；返回结果前重复点击复用同一 Idempotency-Key。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错误提示必须说明发生了什么、是否已生效和下一步可执行操作，不显示内部堆栈或第三方原始错误。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331720" cy="4789479"/>
            <wp:docPr id="2" name="MP-ST-05 退租申请原型真实界面截图" descr="从迷你仓小程序可交互原型截取的退租申请实际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torage-moveout-ui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4789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rial" w:hAnsi="Arial" w:eastAsia="Microsoft YaHei"/>
          <w:b w:val="0"/>
          <w:color w:val="667085"/>
          <w:sz w:val="17"/>
        </w:rPr>
        <w:t>图 4-1 退租申请原型真实界面截图</w:t>
      </w:r>
    </w:p>
    <w:p>
      <w:pPr>
        <w:pStyle w:val="Heading2"/>
      </w:pPr>
      <w:r>
        <w:t>4.2 清仓验收预约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18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属性</w:t>
            </w:r>
          </w:p>
        </w:tc>
        <w:tc>
          <w:tcPr>
            <w:tcW w:type="dxa" w:w="76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建议路由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/pages/appointment/create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入口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申请通过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页面字段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门店、日期、时段、联系人、电话、搬运需求、注意事项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主要操作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选择时段、改期、取消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通用状态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骨架屏、空态、无网络、超时、无权限、数据已变化、提交中、提交成功和提交失败必须分别实现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主按钮在提交期间禁用并显示加载态；返回结果前重复点击复用同一 Idempotency-Key。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错误提示必须说明发生了什么、是否已生效和下一步可执行操作，不显示内部堆栈或第三方原始错误。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331720" cy="4789479"/>
            <wp:docPr id="3" name="MP-ST-05 清仓验收预约原型真实界面截图" descr="从迷你仓小程序可交互原型截取的清仓验收预约实际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torage-moveout-ui-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4789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rial" w:hAnsi="Arial" w:eastAsia="Microsoft YaHei"/>
          <w:b w:val="0"/>
          <w:color w:val="667085"/>
          <w:sz w:val="17"/>
        </w:rPr>
        <w:t>图 4-2 清仓验收预约原型真实界面截图</w:t>
      </w:r>
    </w:p>
    <w:p>
      <w:pPr>
        <w:pStyle w:val="Heading2"/>
      </w:pPr>
      <w:r>
        <w:t>4.3 退租结算进度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18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属性</w:t>
            </w:r>
          </w:p>
        </w:tc>
        <w:tc>
          <w:tcPr>
            <w:tcW w:type="dxa" w:w="76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建议路由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/pages/rental/moveout-detail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入口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订单详情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页面字段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验收记录、照片、费用项、按金、欠费、损坏费、应退/应补、退款方式、预计到账、时间线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主要操作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确认结算、补款、联系客服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通用状态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骨架屏、空态、无网络、超时、无权限、数据已变化、提交中、提交成功和提交失败必须分别实现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主按钮在提交期间禁用并显示加载态；返回结果前重复点击复用同一 Idempotency-Key。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错误提示必须说明发生了什么、是否已生效和下一步可执行操作，不显示内部堆栈或第三方原始错误。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331720" cy="4789479"/>
            <wp:docPr id="4" name="MP-ST-05 退租结算进度原型真实界面截图" descr="从迷你仓小程序可交互原型截取的退租结算进度实际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torage-moveout-ui-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4789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rFonts w:ascii="Arial" w:hAnsi="Arial" w:eastAsia="Microsoft YaHei"/>
          <w:b w:val="0"/>
          <w:color w:val="667085"/>
          <w:sz w:val="17"/>
        </w:rPr>
        <w:t>图 4-3 退租结算进度原型真实界面截图</w:t>
      </w:r>
    </w:p>
    <w:p>
      <w:pPr>
        <w:pStyle w:val="Heading1"/>
      </w:pPr>
      <w:r>
        <w:t>5 业务规则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最早退租日、通知期、违约金和优惠回收由后台按合同版本计算。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提交退租后禁止新建续租或转仓；允许在现场验收前按后台规则撤销。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清仓前门禁保持有效；验收通过并确认客户已清空后才能终止门禁。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工单小程序必须回传仓位照片、空仓确认、钥匙/门禁状态、损坏项和客户确认。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结算单版本变化必须重新确认；应退款原路退回，失败转人工财务任务。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仓位释放前如需维修，状态进入MAINTENANCE而非AVAILABLE。</w:t>
      </w:r>
    </w:p>
    <w:p>
      <w:pPr>
        <w:pStyle w:val="Heading1"/>
      </w:pPr>
      <w:r>
        <w:t>6 接口契约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16"/>
        <w:gridCol w:w="2416"/>
        <w:gridCol w:w="2416"/>
        <w:gridCol w:w="2416"/>
      </w:tblGrid>
      <w:tr>
        <w:trPr>
          <w:tblHeader/>
        </w:trPr>
        <w:tc>
          <w:tcPr>
            <w:tcW w:type="dxa" w:w="79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方法</w:t>
            </w:r>
          </w:p>
        </w:tc>
        <w:tc>
          <w:tcPr>
            <w:tcW w:type="dxa" w:w="331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接口</w:t>
            </w:r>
          </w:p>
        </w:tc>
        <w:tc>
          <w:tcPr>
            <w:tcW w:type="dxa" w:w="410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1296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幂等要求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GET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/rentals/{id}/moveout-quote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查询最早日期和预估结算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否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POST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/moveouts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提交退租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是，clientRequestId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POST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/appointments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创建清仓验收预约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是，clientRequestId</w:t>
            </w:r>
          </w:p>
        </w:tc>
      </w:tr>
      <w:tr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GET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/moveouts/{id}/settlement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查询结算单</w:t>
            </w:r>
          </w:p>
        </w:tc>
        <w:tc>
          <w:tcPr>
            <w:tcW w:type="dxa" w:w="2416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否</w:t>
            </w:r>
          </w:p>
        </w:tc>
      </w:tr>
      <w:tr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POST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/moveouts/{id}/settlement-confirm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确认结算</w:t>
            </w:r>
          </w:p>
        </w:tc>
        <w:tc>
          <w:tcPr>
            <w:tcW w:type="dxa" w:w="2416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是，settlementVersion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响应通用字段：code、message、data、traceId、serverTime；分页使用 nextCursor；金额使用整数最小货币单位。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写接口必须校验登录用户与资源归属；Idempotency-Key 建议保留24小时，重复请求返回首次业务结果。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错误码至少区分 VALIDATION_ERROR、NOT_ELIGIBLE、VERSION_CONFLICT、RESOURCE_LOCKED、PAYMENT_PENDING、FORBIDDEN 和 SERVICE_UNAVAILABLE。</w:t>
      </w:r>
    </w:p>
    <w:p>
      <w:pPr>
        <w:pStyle w:val="Heading1"/>
      </w:pPr>
      <w:r>
        <w:t>7 跨端交互和数据一致性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223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方向</w:t>
            </w:r>
          </w:p>
        </w:tc>
        <w:tc>
          <w:tcPr>
            <w:tcW w:type="dxa" w:w="7272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规则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小程序到运营后台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小程序只调用BFF或领域服务；提交后后台通过同一业务单据查看、审批或异常处理，不接受直接写后台数据库。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运营后台到小程序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后台变更先写领域状态并发布事件；小程序通过详情刷新、消息通知或轮询获取，不依赖前端本地推断。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后台到工单小程序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需要线下执行时生成 workOrderId，包含orderId、任务类型、时间窗、地点、对象清单、SLA和附件要求。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工单小程序到客户小程序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工单节点、扫码结果、照片和异常先回传领域服务，再追加客户可见时间线；内部备注不得下发。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消息通知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关键节点通过订阅消息/站内消息发送，payload仅带业务编号与深链，不包含敏感合同或门禁凭证。</w:t>
            </w:r>
          </w:p>
        </w:tc>
      </w:tr>
    </w:tbl>
    <w:p>
      <w:pPr>
        <w:spacing w:after="20"/>
      </w:pPr>
    </w:p>
    <w:p>
      <w:pPr>
        <w:pStyle w:val="Heading2"/>
      </w:pPr>
      <w:r>
        <w:t>7.1 领域事件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moveout.applied：事件必须包含 eventId、aggregateId、aggregateVersion、occurredAt、operatorType、traceId。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inspection.scheduled：事件必须包含 eventId、aggregateId、aggregateVersion、occurredAt、operatorType、traceId。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inspection.completed：事件必须包含 eventId、aggregateId、aggregateVersion、occurredAt、operatorType、traceId。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settlement.created：事件必须包含 eventId、aggregateId、aggregateVersion、occurredAt、operatorType、traceId。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refund.requested：事件必须包含 eventId、aggregateId、aggregateVersion、occurredAt、operatorType、traceId。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rental.terminated：事件必须包含 eventId、aggregateId、aggregateVersion、occurredAt、operatorType、traceId。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unit.released：事件必须包含 eventId、aggregateId、aggregateVersion、occurredAt、operatorType、traceId。</w:t>
      </w:r>
    </w:p>
    <w:p>
      <w:pPr>
        <w:pStyle w:val="Heading1"/>
      </w:pPr>
      <w:r>
        <w:t>8 异常与恢复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21"/>
        <w:gridCol w:w="3221"/>
        <w:gridCol w:w="3221"/>
      </w:tblGrid>
      <w:tr>
        <w:trPr>
          <w:tblHeader/>
        </w:trPr>
        <w:tc>
          <w:tcPr>
            <w:tcW w:type="dxa" w:w="194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288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识别条件</w:t>
            </w:r>
          </w:p>
        </w:tc>
        <w:tc>
          <w:tcPr>
            <w:tcW w:type="dxa" w:w="468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客户侧与后台处理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日期不合规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小于最早退租日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标记最近可选日期并解释费用影响</w:t>
            </w:r>
          </w:p>
        </w:tc>
      </w:tr>
      <w:tr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验收发现遗留物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现场工单异常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暂停结算，上传证据并创建客户确认任务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退款失败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渠道拒绝或账户失效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显示退款异常并转财务人工处理</w:t>
            </w:r>
          </w:p>
        </w:tc>
      </w:tr>
      <w:tr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仓位损坏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验收记录损坏项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结算单新增费用并要求客户确认</w:t>
            </w:r>
          </w:p>
        </w:tc>
      </w:tr>
    </w:tbl>
    <w:p>
      <w:pPr>
        <w:spacing w:after="20"/>
      </w:pPr>
    </w:p>
    <w:p>
      <w:pPr>
        <w:pStyle w:val="Heading1"/>
      </w:pPr>
      <w:r>
        <w:t>9 非功能与安全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性能：列表首屏P95不超过2秒，详情P95不超过1.5秒，写操作受理P95不超过2秒；长流程以受理结果加异步进度返回。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可用性：读取接口目标99.9%，写接口失败不得留下不可识别中间态；跨服务写入使用事务消息或outbox补偿。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安全：手机号、地址、签名、门禁凭证和支付数据按最小权限展示；日志脱敏，下载资产使用短时签名URL。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审计：所有状态变更记录前后值、操作者、来源端、原因码、时间和traceId；客户可见文案与内部备注分离。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国际化：简体中文、繁体中文、英文不允许截断；日期、货币和地址按香港业务规范展示。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可观测性：监控接口成功率、业务转化、状态停留时长、事件积压、重复回调和补偿任务数量。</w:t>
      </w:r>
    </w:p>
    <w:p>
      <w:pPr>
        <w:pStyle w:val="Heading1"/>
      </w:pPr>
      <w:r>
        <w:t>10 埋点与指标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21"/>
        <w:gridCol w:w="3221"/>
        <w:gridCol w:w="3221"/>
      </w:tblGrid>
      <w:tr>
        <w:trPr>
          <w:tblHeader/>
        </w:trPr>
        <w:tc>
          <w:tcPr>
            <w:tcW w:type="dxa" w:w="194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事件</w:t>
            </w:r>
          </w:p>
        </w:tc>
        <w:tc>
          <w:tcPr>
            <w:tcW w:type="dxa" w:w="2376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触发</w:t>
            </w:r>
          </w:p>
        </w:tc>
        <w:tc>
          <w:tcPr>
            <w:tcW w:type="dxa" w:w="518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关键属性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page_view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进入页面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pageCode、source、orderId可选、businessType</w:t>
            </w:r>
          </w:p>
        </w:tc>
      </w:tr>
      <w:tr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action_click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点击主要操作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actionCode、statusCode、allowed、orderVersion</w:t>
            </w:r>
          </w:p>
        </w:tc>
      </w:tr>
      <w:tr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submit_result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写操作完成</w:t>
            </w:r>
          </w:p>
        </w:tc>
        <w:tc>
          <w:tcPr>
            <w:tcW w:type="dxa" w:w="322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requestId、result、errorCode、durationMs、traceId</w:t>
            </w:r>
          </w:p>
        </w:tc>
      </w:tr>
      <w:tr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flow_step_changed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业务节点变化</w:t>
            </w:r>
          </w:p>
        </w:tc>
        <w:tc>
          <w:tcPr>
            <w:tcW w:type="dxa" w:w="322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fromStatus、toStatus、eventId、operatorType</w:t>
            </w:r>
          </w:p>
        </w:tc>
      </w:tr>
    </w:tbl>
    <w:p>
      <w:pPr>
        <w:spacing w:after="20"/>
      </w:pPr>
    </w:p>
    <w:p>
      <w:pPr>
        <w:pStyle w:val="Heading1"/>
      </w:pPr>
      <w:r>
        <w:t>11 验收标准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AC-01 退租日期不可早于服务端返回日期。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AC-02 活动转仓/续租存在时不得重复申请。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AC-03 现场验收附件在客户订单详情可见且敏感信息脱敏。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AC-04 应补款未完成时不得终止租约。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AC-05 退租完成后门禁失效且仓位进入可租或维修状态。</w:t>
      </w:r>
    </w:p>
    <w:p>
      <w:pPr>
        <w:pStyle w:val="ListBullet"/>
        <w:spacing w:after="60"/>
      </w:pPr>
      <w:r>
        <w:rPr>
          <w:rFonts w:ascii="Arial" w:hAnsi="Arial" w:eastAsia="Microsoft YaHei"/>
          <w:color w:val="000000"/>
          <w:sz w:val="21"/>
        </w:rPr>
        <w:t>接口、数据库、运营后台和工单小程序均能以同一业务编号追踪全链路，且测试环境可重复构造正常、并发、超时和补偿场景。</w:t>
      </w:r>
    </w:p>
    <w:p>
      <w:pPr>
        <w:pStyle w:val="Heading1"/>
      </w:pPr>
      <w:r>
        <w:t>12 研发交付清单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31"/>
        <w:gridCol w:w="4831"/>
      </w:tblGrid>
      <w:tr>
        <w:trPr>
          <w:tblHeader/>
        </w:trPr>
        <w:tc>
          <w:tcPr>
            <w:tcW w:type="dxa" w:w="1944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7560"/>
            <w:shd w:fill="17365D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交付物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产品与设计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页面状态稿、字段字典、文案三语、业务规则和验收用例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小程序前端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页面与组件、登录恢复、状态处理、埋点、无障碍和错误恢复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BFF与领域后端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OpenAPI、状态机、幂等、权限、事件、补偿任务和审计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运营后台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主数据配置、审批/异常处理、查询、重试、人工兜底和导出</w:t>
            </w:r>
          </w:p>
        </w:tc>
      </w:tr>
      <w:tr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工单小程序</w:t>
            </w:r>
          </w:p>
        </w:tc>
        <w:tc>
          <w:tcPr>
            <w:tcW w:type="dxa" w:w="4831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任务领取、扫码、附件、节点回传、异常上报和离线保护</w:t>
            </w:r>
          </w:p>
        </w:tc>
      </w:tr>
      <w:tr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测试</w:t>
            </w:r>
          </w:p>
        </w:tc>
        <w:tc>
          <w:tcPr>
            <w:tcW w:type="dxa" w:w="4831"/>
            <w:shd w:fill="F7F9FC"/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端到端、并发、重试、权限、三语、弱网、事件重复和补偿验证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123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b w:val="0"/>
        <w:color w:val="667085"/>
        <w:sz w:val="16"/>
      </w:rPr>
      <w:t xml:space="preserve">V2.0 | 2026-09-08 | </w:t>
      <w:fldChar w:fldCharType="begin"/>
      <w:instrText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 w:eastAsia="Microsoft YaHei"/>
        <w:b/>
        <w:color w:val="17365D"/>
        <w:sz w:val="16"/>
      </w:rPr>
      <w:t>ONE STORAGE | 客户小程序 | MP-ST-05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6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