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 w:eastAsia="Microsoft YaHei"/>
          <w:b/>
          <w:color w:val="000000"/>
          <w:sz w:val="48"/>
        </w:rPr>
        <w:t>迷你箱下单 PRD</w:t>
      </w:r>
    </w:p>
    <w:p>
      <w:r>
        <w:rPr>
          <w:rFonts w:ascii="Arial" w:hAnsi="Arial" w:eastAsia="Microsoft YaHei"/>
          <w:b w:val="0"/>
          <w:color w:val="667085"/>
          <w:sz w:val="21"/>
        </w:rPr>
        <w:t>客户小程序研发详细需求规格 | V2.0 | 2026-09-08</w:t>
      </w:r>
    </w:p>
    <w:p>
      <w:r>
        <w:rPr>
          <w:rFonts w:ascii="Arial" w:hAnsi="Arial" w:eastAsia="Microsoft YaHei"/>
          <w:b w:val="0"/>
          <w:color w:val="000000"/>
          <w:sz w:val="22"/>
        </w:rPr>
        <w:t>定义客户选择迷你箱套餐、箱数和租期，确认地址与送箱时段、签署服务协议、付款并进入首次履约的完整规格。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2088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7416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文档编号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MP-BX-01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适用端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OneStorage 客户小程序、运营后台、工单小程序及相关领域服务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范围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套餐、数量、租期、地址、送箱预约、禁存品确认、报价、合同、优惠、付款、订单创建。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不在本模块范围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套餐后台配置、车队排班算法和仓库库位分配。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研发用途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页面拆分、接口联调、服务端状态机、测试用例和跨端验收的共同基线</w:t>
            </w:r>
          </w:p>
        </w:tc>
      </w:tr>
    </w:tbl>
    <w:p>
      <w:pPr>
        <w:spacing w:after="20"/>
      </w:pPr>
    </w:p>
    <w:p>
      <w:pPr>
        <w:pStyle w:val="Heading1"/>
      </w:pPr>
      <w:r>
        <w:t>1 目标与边界</w:t>
      </w:r>
    </w:p>
    <w:p>
      <w:r>
        <w:t>定义客户选择迷你箱套餐、箱数和租期，确认地址与送箱时段、签署服务协议、付款并进入首次履约的完整规格。</w:t>
      </w:r>
    </w:p>
    <w:p>
      <w:pPr>
        <w:pStyle w:val="Heading2"/>
      </w:pPr>
      <w:r>
        <w:t>1.1 本期范围</w:t>
      </w:r>
    </w:p>
    <w:p>
      <w:r>
        <w:t>套餐、数量、租期、地址、送箱预约、禁存品确认、报价、合同、优惠、付款、订单创建。</w:t>
      </w:r>
    </w:p>
    <w:p>
      <w:pPr>
        <w:pStyle w:val="Heading2"/>
      </w:pPr>
      <w:r>
        <w:t>1.2 不在本模块范围</w:t>
      </w:r>
    </w:p>
    <w:p>
      <w:r>
        <w:t>套餐后台配置、车队排班算法和仓库库位分配。</w:t>
      </w:r>
    </w:p>
    <w:p>
      <w:pPr>
        <w:pStyle w:val="Heading2"/>
      </w:pPr>
      <w:r>
        <w:t>1.3 角色与系统责任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223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角色或系统</w:t>
            </w:r>
          </w:p>
        </w:tc>
        <w:tc>
          <w:tcPr>
            <w:tcW w:type="dxa" w:w="727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职责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客户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浏览、选择、签约、付款、提交申请、查询进度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客户小程序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采集意图并展示服务端状态，不自行决定价格、库存、资格或审批结果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运营后台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维护主数据、价格、库存、可操作项、审批、异常处理和人工改派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工单小程序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承接送取、验收、搬仓、清仓等线下任务，回传节点、附件和异常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领域服务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保存订单、租约、箱体、预约、支付与合同的权威状态并发布事件</w:t>
            </w:r>
          </w:p>
        </w:tc>
      </w:tr>
    </w:tbl>
    <w:p>
      <w:pPr>
        <w:spacing w:after="20"/>
      </w:pPr>
    </w:p>
    <w:p>
      <w:pPr>
        <w:pStyle w:val="Heading1"/>
      </w:pPr>
      <w:r>
        <w:t>2 BPMN 业务流程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20145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box-booking-bpm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014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Microsoft YaHei"/>
          <w:b w:val="0"/>
          <w:color w:val="667085"/>
          <w:sz w:val="17"/>
        </w:rPr>
        <w:t>图 2-1 迷你箱下单 BPMN 流程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圆形表示开始或结束事件，圆角矩形表示任务，菱形表示服务端判断。跨泳道连线代表接口调用或事件同步。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运营后台与工单小程序不得直接覆盖客户侧状态；所有节点先写入领域服务，再通过事件刷新订单聚合视图。</w:t>
      </w:r>
    </w:p>
    <w:p>
      <w:pPr>
        <w:pStyle w:val="Heading1"/>
      </w:pPr>
      <w:r>
        <w:t>3 状态机与准入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16"/>
        <w:gridCol w:w="2416"/>
        <w:gridCol w:w="2416"/>
        <w:gridCol w:w="2416"/>
      </w:tblGrid>
      <w:tr>
        <w:trPr>
          <w:tblHeader/>
        </w:trPr>
        <w:tc>
          <w:tcPr>
            <w:tcW w:type="dxa" w:w="180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状态码</w:t>
            </w:r>
          </w:p>
        </w:tc>
        <w:tc>
          <w:tcPr>
            <w:tcW w:type="dxa" w:w="180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客户文案</w:t>
            </w:r>
          </w:p>
        </w:tc>
        <w:tc>
          <w:tcPr>
            <w:tcW w:type="dxa" w:w="338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进入条件</w:t>
            </w:r>
          </w:p>
        </w:tc>
        <w:tc>
          <w:tcPr>
            <w:tcW w:type="dxa" w:w="252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下一步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DRAFT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填写中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尚未创建订单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提交签约</w:t>
            </w:r>
          </w:p>
        </w:tc>
      </w:tr>
      <w:t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PENDING_SIGN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待签约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资料与报价已确认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签署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PENDING_PAYMENT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待付款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合同已签署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支付</w:t>
            </w:r>
          </w:p>
        </w:tc>
      </w:tr>
      <w:t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PAID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已付款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等待送箱排程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转待安排送箱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DELIVERY_PENDING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待安排送箱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时段已锁定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进入首次履约</w:t>
            </w:r>
          </w:p>
        </w:tc>
      </w:tr>
      <w:t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CANCELLED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已取消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未进入配送或按规则取消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终态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状态码是跨端契约，中文文案允许国际化配置但不得作为业务判断条件。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详情接口返回 orderVersion 或 aggregateVersion；任何写操作必须携带该版本并处理409并发冲突。</w:t>
      </w:r>
    </w:p>
    <w:p>
      <w:pPr>
        <w:pStyle w:val="Heading1"/>
      </w:pPr>
      <w:r>
        <w:t>4 页面与交互</w:t>
      </w:r>
    </w:p>
    <w:p>
      <w:r>
        <w:t>本节截图直接取自迷你仓小程序可交互原型的实际页面，用于前端布局、接口联调和验收对照。截图反映当前原型状态；业务权威值仍以服务端返回为准。</w:t>
      </w:r>
    </w:p>
    <w:p>
      <w:pPr>
        <w:pStyle w:val="Heading2"/>
      </w:pPr>
      <w:r>
        <w:t>4.1 套餐选择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187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属性</w:t>
            </w:r>
          </w:p>
        </w:tc>
        <w:tc>
          <w:tcPr>
            <w:tcW w:type="dxa" w:w="763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建议路由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/pages/box/index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入口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首页订箱、底部订箱、再次订购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页面字段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套餐编码/名称、箱数、租期、月租、运输权益、押金、推荐标签、适用地区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主要操作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切换套餐、调整箱数、查看尺寸与规则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通用状态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骨架屏、空态、无网络、超时、无权限、数据已变化、提交中、提交成功和提交失败必须分别实现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主按钮在提交期间禁用并显示加载态；返回结果前重复点击复用同一 Idempotency-Key。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错误提示必须说明发生了什么、是否已生效和下一步可执行操作，不显示内部堆栈或第三方原始错误。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331720" cy="4789479"/>
            <wp:docPr id="2" name="MP-BX-01 套餐选择原型真实界面截图" descr="从迷你仓小程序可交互原型截取的套餐选择实际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box-booking-ui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4789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Arial" w:hAnsi="Arial" w:eastAsia="Microsoft YaHei"/>
          <w:b w:val="0"/>
          <w:color w:val="667085"/>
          <w:sz w:val="17"/>
        </w:rPr>
        <w:t>图 4-1 套餐选择原型真实界面截图</w:t>
      </w:r>
    </w:p>
    <w:p>
      <w:pPr>
        <w:pStyle w:val="Heading2"/>
      </w:pPr>
      <w:r>
        <w:t>4.2 地址与送箱预约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187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属性</w:t>
            </w:r>
          </w:p>
        </w:tc>
        <w:tc>
          <w:tcPr>
            <w:tcW w:type="dxa" w:w="763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建议路由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/pages/box/checkout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入口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选择套餐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页面字段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地址、联系人、电话、楼层、电梯/楼梯、停车说明、预约日期/时段、搬运说明、禁存品确认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主要操作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选择地址、新增地址、校验服务范围、选择有容量时段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通用状态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骨架屏、空态、无网络、超时、无权限、数据已变化、提交中、提交成功和提交失败必须分别实现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主按钮在提交期间禁用并显示加载态；返回结果前重复点击复用同一 Idempotency-Key。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错误提示必须说明发生了什么、是否已生效和下一步可执行操作，不显示内部堆栈或第三方原始错误。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331720" cy="4789479"/>
            <wp:docPr id="3" name="MP-BX-01 地址与送箱预约原型真实界面截图" descr="从迷你仓小程序可交互原型截取的地址与送箱预约实际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box-booking-ui-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4789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Arial" w:hAnsi="Arial" w:eastAsia="Microsoft YaHei"/>
          <w:b w:val="0"/>
          <w:color w:val="667085"/>
          <w:sz w:val="17"/>
        </w:rPr>
        <w:t>图 4-2 地址与送箱预约原型真实界面截图</w:t>
      </w:r>
    </w:p>
    <w:p>
      <w:pPr>
        <w:pStyle w:val="Heading2"/>
      </w:pPr>
      <w:r>
        <w:t>4.3 签约与优惠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187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属性</w:t>
            </w:r>
          </w:p>
        </w:tc>
        <w:tc>
          <w:tcPr>
            <w:tcW w:type="dxa" w:w="763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建议路由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/pages/box/sign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入口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预约校验通过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页面字段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服务协议版本、私隐政策、可选营销授权、签名、原价、优惠券、推荐码、应付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主要操作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阅读、勾选、签名、选择优惠；必选协议未同意不可提交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通用状态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骨架屏、空态、无网络、超时、无权限、数据已变化、提交中、提交成功和提交失败必须分别实现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主按钮在提交期间禁用并显示加载态；返回结果前重复点击复用同一 Idempotency-Key。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错误提示必须说明发生了什么、是否已生效和下一步可执行操作，不显示内部堆栈或第三方原始错误。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331720" cy="4789479"/>
            <wp:docPr id="4" name="MP-BX-01 签约与优惠原型真实界面截图" descr="从迷你仓小程序可交互原型截取的签约与优惠实际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box-booking-ui-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4789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Arial" w:hAnsi="Arial" w:eastAsia="Microsoft YaHei"/>
          <w:b w:val="0"/>
          <w:color w:val="667085"/>
          <w:sz w:val="17"/>
        </w:rPr>
        <w:t>图 4-3 签约与优惠原型真实界面截图</w:t>
      </w:r>
    </w:p>
    <w:p>
      <w:pPr>
        <w:pStyle w:val="Heading2"/>
      </w:pPr>
      <w:r>
        <w:t>4.4 支付结果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187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属性</w:t>
            </w:r>
          </w:p>
        </w:tc>
        <w:tc>
          <w:tcPr>
            <w:tcW w:type="dxa" w:w="763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建议路由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/pages/pay/index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入口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订单已创建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页面字段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迷你箱订单号、箱数、送箱预约、应付、支付状态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主要操作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付款、失败重试、取消、查看订单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通用状态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骨架屏、空态、无网络、超时、无权限、数据已变化、提交中、提交成功和提交失败必须分别实现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主按钮在提交期间禁用并显示加载态；返回结果前重复点击复用同一 Idempotency-Key。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错误提示必须说明发生了什么、是否已生效和下一步可执行操作，不显示内部堆栈或第三方原始错误。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331720" cy="4789479"/>
            <wp:docPr id="5" name="MP-BX-01 支付结果原型真实界面截图" descr="从迷你仓小程序可交互原型截取的支付结果实际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box-booking-ui-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4789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Arial" w:hAnsi="Arial" w:eastAsia="Microsoft YaHei"/>
          <w:b w:val="0"/>
          <w:color w:val="667085"/>
          <w:sz w:val="17"/>
        </w:rPr>
        <w:t>图 4-4 支付结果原型真实界面截图</w:t>
      </w:r>
    </w:p>
    <w:p>
      <w:pPr>
        <w:pStyle w:val="Heading1"/>
      </w:pPr>
      <w:r>
        <w:t>5 业务规则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套餐、可售箱数、租期、运输权益、押金和服务地区由后台返回；客户端不得硬编码。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送箱预约必须校验地址服务范围、每日容量、楼层和特殊搬运限制；锁定时段与创建订单使用同一幂等请求。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必须确认禁存品说明；后台保存版本、确认时间和客户身份。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签约必须早于付款；合同和订单保存地址快照，后续修改地址库不回写历史订单。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优惠券与推荐码互斥；运输权益要作为 orderEntitlements 快照保存，不能随套餐后台变更。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付款成功才进入待安排送箱；支付失败不占用长期排程容量，超时释放时段。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待签约、待付款、待安排送箱三个状态允许按取消规则申请取消；是否退款以支付事实为准。</w:t>
      </w:r>
    </w:p>
    <w:p>
      <w:pPr>
        <w:pStyle w:val="Heading1"/>
      </w:pPr>
      <w:r>
        <w:t>6 接口契约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16"/>
        <w:gridCol w:w="2416"/>
        <w:gridCol w:w="2416"/>
        <w:gridCol w:w="2416"/>
      </w:tblGrid>
      <w:tr>
        <w:trPr>
          <w:tblHeader/>
        </w:trPr>
        <w:tc>
          <w:tcPr>
            <w:tcW w:type="dxa" w:w="79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方法</w:t>
            </w:r>
          </w:p>
        </w:tc>
        <w:tc>
          <w:tcPr>
            <w:tcW w:type="dxa" w:w="331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接口</w:t>
            </w:r>
          </w:p>
        </w:tc>
        <w:tc>
          <w:tcPr>
            <w:tcW w:type="dxa" w:w="410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用途</w:t>
            </w:r>
          </w:p>
        </w:tc>
        <w:tc>
          <w:tcPr>
            <w:tcW w:type="dxa" w:w="1296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幂等要求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GET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/box/bundles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查询可售套餐和权益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否</w:t>
            </w:r>
          </w:p>
        </w:tc>
      </w:tr>
      <w:t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POST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/box/serviceability/check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校验地址与搬运限制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是，requestId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GET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/appointments/slots?type=delivery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查询送箱容量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否</w:t>
            </w:r>
          </w:p>
        </w:tc>
      </w:tr>
      <w:t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POST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/pricing/box/quote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计算箱数、租期和优惠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是，requestId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POST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/orders/box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创建迷你箱订单和预约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是，clientRequestId</w:t>
            </w:r>
          </w:p>
        </w:tc>
      </w:tr>
      <w:t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POST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/contracts/{orderId}/sign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签署迷你箱协议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是，signatureRequestId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响应通用字段：code、message、data、traceId、serverTime；分页使用 nextCursor；金额使用整数最小货币单位。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写接口必须校验登录用户与资源归属；Idempotency-Key 建议保留24小时，重复请求返回首次业务结果。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错误码至少区分 VALIDATION_ERROR、NOT_ELIGIBLE、VERSION_CONFLICT、RESOURCE_LOCKED、PAYMENT_PENDING、FORBIDDEN 和 SERVICE_UNAVAILABLE。</w:t>
      </w:r>
    </w:p>
    <w:p>
      <w:pPr>
        <w:pStyle w:val="Heading1"/>
      </w:pPr>
      <w:r>
        <w:t>7 跨端交互和数据一致性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223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方向</w:t>
            </w:r>
          </w:p>
        </w:tc>
        <w:tc>
          <w:tcPr>
            <w:tcW w:type="dxa" w:w="727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规则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小程序到运营后台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小程序只调用BFF或领域服务；提交后后台通过同一业务单据查看、审批或异常处理，不接受直接写后台数据库。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运营后台到小程序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后台变更先写领域状态并发布事件；小程序通过详情刷新、消息通知或轮询获取，不依赖前端本地推断。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后台到工单小程序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需要线下执行时生成 workOrderId，包含orderId、任务类型、时间窗、地点、对象清单、SLA和附件要求。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工单小程序到客户小程序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工单节点、扫码结果、照片和异常先回传领域服务，再追加客户可见时间线；内部备注不得下发。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消息通知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关键节点通过订阅消息/站内消息发送，payload仅带业务编号与深链，不包含敏感合同或门禁凭证。</w:t>
            </w:r>
          </w:p>
        </w:tc>
      </w:tr>
    </w:tbl>
    <w:p>
      <w:pPr>
        <w:spacing w:after="20"/>
      </w:pPr>
    </w:p>
    <w:p>
      <w:pPr>
        <w:pStyle w:val="Heading2"/>
      </w:pPr>
      <w:r>
        <w:t>7.1 领域事件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box.quote_created：事件必须包含 eventId、aggregateId、aggregateVersion、occurredAt、operatorType、traceId。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box.contract_signed：事件必须包含 eventId、aggregateId、aggregateVersion、occurredAt、operatorType、traceId。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box.order_created：事件必须包含 eventId、aggregateId、aggregateVersion、occurredAt、operatorType、traceId。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box.payment_confirmed：事件必须包含 eventId、aggregateId、aggregateVersion、occurredAt、operatorType、traceId。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box.delivery_slot_reserved：事件必须包含 eventId、aggregateId、aggregateVersion、occurredAt、operatorType、traceId。</w:t>
      </w:r>
    </w:p>
    <w:p>
      <w:pPr>
        <w:pStyle w:val="Heading1"/>
      </w:pPr>
      <w:r>
        <w:t>8 异常与恢复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21"/>
        <w:gridCol w:w="3221"/>
        <w:gridCol w:w="3221"/>
      </w:tblGrid>
      <w:tr>
        <w:trPr>
          <w:tblHeader/>
        </w:trPr>
        <w:tc>
          <w:tcPr>
            <w:tcW w:type="dxa" w:w="194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288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识别条件</w:t>
            </w:r>
          </w:p>
        </w:tc>
        <w:tc>
          <w:tcPr>
            <w:tcW w:type="dxa" w:w="468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客户侧与后台处理</w:t>
            </w:r>
          </w:p>
        </w:tc>
      </w:tr>
      <w:tr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地址不可服务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超范围或楼梯限制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给出可服务原因和人工咨询入口</w:t>
            </w:r>
          </w:p>
        </w:tc>
      </w:tr>
      <w:tr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时段被抢占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容量版本冲突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刷新可选时段并保留其他表单</w:t>
            </w:r>
          </w:p>
        </w:tc>
      </w:tr>
      <w:tr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优惠失效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结算时资格变化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展示新金额并要求再次确认</w:t>
            </w:r>
          </w:p>
        </w:tc>
      </w:tr>
      <w:tr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付款成功预约锁定失败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跨服务异常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订单显示排程确认中并生成运营异常任务</w:t>
            </w:r>
          </w:p>
        </w:tc>
      </w:tr>
    </w:tbl>
    <w:p>
      <w:pPr>
        <w:spacing w:after="20"/>
      </w:pPr>
    </w:p>
    <w:p>
      <w:pPr>
        <w:pStyle w:val="Heading1"/>
      </w:pPr>
      <w:r>
        <w:t>9 非功能与安全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性能：列表首屏P95不超过2秒，详情P95不超过1.5秒，写操作受理P95不超过2秒；长流程以受理结果加异步进度返回。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可用性：读取接口目标99.9%，写接口失败不得留下不可识别中间态；跨服务写入使用事务消息或outbox补偿。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安全：手机号、地址、签名、门禁凭证和支付数据按最小权限展示；日志脱敏，下载资产使用短时签名URL。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审计：所有状态变更记录前后值、操作者、来源端、原因码、时间和traceId；客户可见文案与内部备注分离。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国际化：简体中文、繁体中文、英文不允许截断；日期、货币和地址按香港业务规范展示。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可观测性：监控接口成功率、业务转化、状态停留时长、事件积压、重复回调和补偿任务数量。</w:t>
      </w:r>
    </w:p>
    <w:p>
      <w:pPr>
        <w:pStyle w:val="Heading1"/>
      </w:pPr>
      <w:r>
        <w:t>10 埋点与指标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21"/>
        <w:gridCol w:w="3221"/>
        <w:gridCol w:w="3221"/>
      </w:tblGrid>
      <w:tr>
        <w:trPr>
          <w:tblHeader/>
        </w:trPr>
        <w:tc>
          <w:tcPr>
            <w:tcW w:type="dxa" w:w="194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事件</w:t>
            </w:r>
          </w:p>
        </w:tc>
        <w:tc>
          <w:tcPr>
            <w:tcW w:type="dxa" w:w="2376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触发</w:t>
            </w:r>
          </w:p>
        </w:tc>
        <w:tc>
          <w:tcPr>
            <w:tcW w:type="dxa" w:w="518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关键属性</w:t>
            </w:r>
          </w:p>
        </w:tc>
      </w:tr>
      <w:tr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page_view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进入页面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pageCode、source、orderId可选、businessType</w:t>
            </w:r>
          </w:p>
        </w:tc>
      </w:tr>
      <w:tr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action_click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点击主要操作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actionCode、statusCode、allowed、orderVersion</w:t>
            </w:r>
          </w:p>
        </w:tc>
      </w:tr>
      <w:tr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submit_result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写操作完成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requestId、result、errorCode、durationMs、traceId</w:t>
            </w:r>
          </w:p>
        </w:tc>
      </w:tr>
      <w:tr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flow_step_changed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业务节点变化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fromStatus、toStatus、eventId、operatorType</w:t>
            </w:r>
          </w:p>
        </w:tc>
      </w:tr>
    </w:tbl>
    <w:p>
      <w:pPr>
        <w:spacing w:after="20"/>
      </w:pPr>
    </w:p>
    <w:p>
      <w:pPr>
        <w:pStyle w:val="Heading1"/>
      </w:pPr>
      <w:r>
        <w:t>11 验收标准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AC-01 登录后恢复套餐、箱数、地址和时段。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AC-02 历史订单保留套餐权益与地址快照。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AC-03 重复提交只创建一张订单和一个预约。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AC-04 未签协议不能进入支付。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AC-05 支付成功后订单状态和预约容量在服务端最终一致。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接口、数据库、运营后台和工单小程序均能以同一业务编号追踪全链路，且测试环境可重复构造正常、并发、超时和补偿场景。</w:t>
      </w:r>
    </w:p>
    <w:p>
      <w:pPr>
        <w:pStyle w:val="Heading1"/>
      </w:pPr>
      <w:r>
        <w:t>12 研发交付清单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194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756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交付物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产品与设计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页面状态稿、字段字典、文案三语、业务规则和验收用例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小程序前端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页面与组件、登录恢复、状态处理、埋点、无障碍和错误恢复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BFF与领域后端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OpenAPI、状态机、幂等、权限、事件、补偿任务和审计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运营后台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主数据配置、审批/异常处理、查询、重试、人工兜底和导出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工单小程序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任务领取、扫码、附件、节点回传、异常上报和离线保护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测试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端到端、并发、重试、权限、三语、弱网、事件重复和补偿验证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123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b w:val="0"/>
        <w:color w:val="667085"/>
        <w:sz w:val="16"/>
      </w:rPr>
      <w:t xml:space="preserve">V2.0 | 2026-09-08 | </w:t>
      <w:fldChar w:fldCharType="begin"/>
      <w:instrText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 w:eastAsia="Microsoft YaHei"/>
        <w:b/>
        <w:color w:val="17365D"/>
        <w:sz w:val="16"/>
      </w:rPr>
      <w:t>ONE STORAGE | 客户小程序 | MP-BX-01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Arial" w:hAnsi="Arial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60" w:line="240" w:lineRule="auto" w:before="0"/>
      <w:contextualSpacing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