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rPr>
          <w:rFonts w:ascii="Arial" w:hAnsi="Arial" w:eastAsia="Microsoft YaHei"/>
          <w:b/>
          <w:color w:val="000000"/>
          <w:sz w:val="48"/>
        </w:rPr>
        <w:t>迷你仓选仓下单 PRD</w:t>
      </w:r>
    </w:p>
    <w:p>
      <w:r>
        <w:rPr>
          <w:rFonts w:ascii="Arial" w:hAnsi="Arial" w:eastAsia="Microsoft YaHei"/>
          <w:b w:val="0"/>
          <w:color w:val="667085"/>
          <w:sz w:val="21"/>
        </w:rPr>
        <w:t>客户小程序研发详细需求规格 | V2.0 | 2026-09-08</w:t>
      </w:r>
    </w:p>
    <w:p>
      <w:r>
        <w:rPr>
          <w:rFonts w:ascii="Arial" w:hAnsi="Arial" w:eastAsia="Microsoft YaHei"/>
          <w:b w:val="0"/>
          <w:color w:val="000000"/>
          <w:sz w:val="22"/>
        </w:rPr>
        <w:t>定义客户从首页进入订仓、选择门店与仓位、锁定报价、电子签约、确认保险与优惠、完成付款，直至租约生效的完整研发规格。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2088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8"/>
              </w:rPr>
              <w:t>属性</w:t>
            </w:r>
          </w:p>
        </w:tc>
        <w:tc>
          <w:tcPr>
            <w:tcW w:type="dxa" w:w="7416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8"/>
              </w:rPr>
              <w:t>文档编号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MP-ST-01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8"/>
              </w:rPr>
              <w:t>适用端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OneStorage 客户小程序、运营后台、工单小程序及相关领域服务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8"/>
              </w:rPr>
              <w:t>范围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门店推荐与搜索、列表和地图、门店详情与VR、仓位筛选、库存锁定、报价快照、合同签署、保险与优惠、订单创建、支付结果、租约激活。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8"/>
              </w:rPr>
              <w:t>不在本模块范围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门店及仓位主数据维护、价格审批、线下交仓、支付渠道清算；这些能力由后台或第三方服务提供。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8"/>
              </w:rPr>
              <w:t>研发用途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页面拆分、接口联调、服务端状态机、测试用例和跨端验收的共同基线</w:t>
            </w:r>
          </w:p>
        </w:tc>
      </w:tr>
    </w:tbl>
    <w:p>
      <w:pPr>
        <w:spacing w:after="20"/>
      </w:pPr>
    </w:p>
    <w:p>
      <w:pPr>
        <w:pStyle w:val="Heading1"/>
      </w:pPr>
      <w:r>
        <w:t>1 目标与边界</w:t>
      </w:r>
    </w:p>
    <w:p>
      <w:r>
        <w:t>定义客户从首页进入订仓、选择门店与仓位、锁定报价、电子签约、确认保险与优惠、完成付款，直至租约生效的完整研发规格。</w:t>
      </w:r>
    </w:p>
    <w:p>
      <w:pPr>
        <w:pStyle w:val="Heading2"/>
      </w:pPr>
      <w:r>
        <w:t>1.1 本期范围</w:t>
      </w:r>
    </w:p>
    <w:p>
      <w:r>
        <w:t>门店推荐与搜索、列表和地图、门店详情与VR、仓位筛选、库存锁定、报价快照、合同签署、保险与优惠、订单创建、支付结果、租约激活。</w:t>
      </w:r>
    </w:p>
    <w:p>
      <w:pPr>
        <w:pStyle w:val="Heading2"/>
      </w:pPr>
      <w:r>
        <w:t>1.2 不在本模块范围</w:t>
      </w:r>
    </w:p>
    <w:p>
      <w:r>
        <w:t>门店及仓位主数据维护、价格审批、线下交仓、支付渠道清算；这些能力由后台或第三方服务提供。</w:t>
      </w:r>
    </w:p>
    <w:p>
      <w:pPr>
        <w:pStyle w:val="Heading2"/>
      </w:pPr>
      <w:r>
        <w:t>1.3 角色与系统责任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223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角色或系统</w:t>
            </w:r>
          </w:p>
        </w:tc>
        <w:tc>
          <w:tcPr>
            <w:tcW w:type="dxa" w:w="727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职责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客户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浏览、选择、签约、付款、提交申请、查询进度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客户小程序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采集意图并展示服务端状态，不自行决定价格、库存、资格或审批结果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运营后台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维护主数据、价格、库存、可操作项、审批、异常处理和人工改派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工单小程序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承接送取、验收、搬仓、清仓等线下任务，回传节点、附件和异常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领域服务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保存订单、租约、箱体、预约、支付与合同的权威状态并发布事件</w:t>
            </w:r>
          </w:p>
        </w:tc>
      </w:tr>
    </w:tbl>
    <w:p>
      <w:pPr>
        <w:spacing w:after="20"/>
      </w:pPr>
    </w:p>
    <w:p>
      <w:pPr>
        <w:pStyle w:val="Heading1"/>
      </w:pPr>
      <w:r>
        <w:t>2 BPMN 业务流程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89320" cy="20145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storage-booking-bpm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20145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 w:eastAsia="Microsoft YaHei"/>
          <w:b w:val="0"/>
          <w:color w:val="667085"/>
          <w:sz w:val="17"/>
        </w:rPr>
        <w:t>图 2-1 迷你仓选仓下单 BPMN 流程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圆形表示开始或结束事件，圆角矩形表示任务，菱形表示服务端判断。跨泳道连线代表接口调用或事件同步。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运营后台与工单小程序不得直接覆盖客户侧状态；所有节点先写入领域服务，再通过事件刷新订单聚合视图。</w:t>
      </w:r>
    </w:p>
    <w:p>
      <w:pPr>
        <w:pStyle w:val="Heading1"/>
      </w:pPr>
      <w:r>
        <w:t>3 状态机与准入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16"/>
        <w:gridCol w:w="2416"/>
        <w:gridCol w:w="2416"/>
        <w:gridCol w:w="2416"/>
      </w:tblGrid>
      <w:tr>
        <w:trPr>
          <w:tblHeader/>
        </w:trPr>
        <w:tc>
          <w:tcPr>
            <w:tcW w:type="dxa" w:w="1800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状态码</w:t>
            </w:r>
          </w:p>
        </w:tc>
        <w:tc>
          <w:tcPr>
            <w:tcW w:type="dxa" w:w="1800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客户文案</w:t>
            </w:r>
          </w:p>
        </w:tc>
        <w:tc>
          <w:tcPr>
            <w:tcW w:type="dxa" w:w="338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进入条件</w:t>
            </w:r>
          </w:p>
        </w:tc>
        <w:tc>
          <w:tcPr>
            <w:tcW w:type="dxa" w:w="2520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下一步</w:t>
            </w:r>
          </w:p>
        </w:tc>
      </w:tr>
      <w:t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BROWSING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浏览中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尚未锁定仓位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选择仓位</w:t>
            </w:r>
          </w:p>
        </w:tc>
      </w:tr>
      <w:tr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HELD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仓位已锁定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holdToken 有效，默认10分钟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确认报价或超时释放</w:t>
            </w:r>
          </w:p>
        </w:tc>
      </w:tr>
      <w:t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PENDING_SIGN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待签约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报价已冻结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签署成功或合同版本冲突</w:t>
            </w:r>
          </w:p>
        </w:tc>
      </w:tr>
      <w:tr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PENDING_PAYMENT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待付款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合同已签署，支付单已创建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支付成功、失败或超时关闭</w:t>
            </w:r>
          </w:p>
        </w:tc>
      </w:tr>
      <w:t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ACTIVATING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生效中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渠道回调成功，等待租约与门禁同步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租约激活或进入补偿</w:t>
            </w:r>
          </w:p>
        </w:tc>
      </w:tr>
      <w:tr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ACTIVE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租用中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租约、仓位占用和门禁权限一致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进入租中服务</w:t>
            </w:r>
          </w:p>
        </w:tc>
      </w:tr>
      <w:t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EXPIRED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已失效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锁仓或订单付款时限到期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释放仓位，可重新下单</w:t>
            </w:r>
          </w:p>
        </w:tc>
      </w:tr>
      <w:tr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CANCELLED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已取消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客户取消或后台关闭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终态</w:t>
            </w:r>
          </w:p>
        </w:tc>
      </w:tr>
    </w:tbl>
    <w:p>
      <w:pPr>
        <w:spacing w:after="20"/>
      </w:pP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状态码是跨端契约，中文文案允许国际化配置但不得作为业务判断条件。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详情接口返回 orderVersion 或 aggregateVersion；任何写操作必须携带该版本并处理409并发冲突。</w:t>
      </w:r>
    </w:p>
    <w:p>
      <w:pPr>
        <w:pStyle w:val="Heading1"/>
      </w:pPr>
      <w:r>
        <w:t>4 页面与交互</w:t>
      </w:r>
    </w:p>
    <w:p>
      <w:pPr>
        <w:pStyle w:val="Heading2"/>
      </w:pPr>
      <w:r>
        <w:t>4.1 门店推荐列表与地图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187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属性</w:t>
            </w:r>
          </w:p>
        </w:tc>
        <w:tc>
          <w:tcPr>
            <w:tcW w:type="dxa" w:w="763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要求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建议路由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/pages/storage/index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入口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首页订仓、底部订仓、订单再次租用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页面字段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定位授权、手动地区、搜索词、快捷条件、门店编码/名称/地址/距离/营业时间/起租价/可租数量/设施/推荐分/推荐理由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主要操作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搜索、切换列表地图、筛选、对比最多3家、进入详情；定位失败须保留手动地区和列表模式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通用状态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骨架屏、空态、无网络、超时、无权限、数据已变化、提交中、提交成功和提交失败必须分别实现</w:t>
            </w:r>
          </w:p>
        </w:tc>
      </w:tr>
    </w:tbl>
    <w:p>
      <w:pPr>
        <w:spacing w:after="20"/>
      </w:pP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主按钮在提交期间禁用并显示加载态；返回结果前重复点击复用同一 Idempotency-Key。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错误提示必须说明发生了什么、是否已生效和下一步可执行操作，不显示内部堆栈或第三方原始错误。</w:t>
      </w:r>
    </w:p>
    <w:p>
      <w:pPr>
        <w:pStyle w:val="Heading2"/>
      </w:pPr>
      <w:r>
        <w:t>4.2 门店详情与VR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187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属性</w:t>
            </w:r>
          </w:p>
        </w:tc>
        <w:tc>
          <w:tcPr>
            <w:tcW w:type="dxa" w:w="763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要求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建议路由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/pages/storage/store-detail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入口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门店卡片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页面字段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门店实景、VR入口、楼层、营业时间、装卸说明、设施、仓型区间、实时余量、营销标签、交通路线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主要操作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查看VR、导航、电话咨询、预约看仓、开始选仓；无库存时禁用选仓但保留咨询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通用状态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骨架屏、空态、无网络、超时、无权限、数据已变化、提交中、提交成功和提交失败必须分别实现</w:t>
            </w:r>
          </w:p>
        </w:tc>
      </w:tr>
    </w:tbl>
    <w:p>
      <w:pPr>
        <w:spacing w:after="20"/>
      </w:pP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主按钮在提交期间禁用并显示加载态；返回结果前重复点击复用同一 Idempotency-Key。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错误提示必须说明发生了什么、是否已生效和下一步可执行操作，不显示内部堆栈或第三方原始错误。</w:t>
      </w:r>
    </w:p>
    <w:p>
      <w:pPr>
        <w:pStyle w:val="Heading2"/>
      </w:pPr>
      <w:r>
        <w:t>4.3 仓位选择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187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属性</w:t>
            </w:r>
          </w:p>
        </w:tc>
        <w:tc>
          <w:tcPr>
            <w:tcW w:type="dxa" w:w="763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要求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建议路由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/pages/storage/unit-select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入口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门店详情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页面字段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楼层、区域、仓号、面积、尺寸、价格、可租状态、起租日、租期、预计到期日、优惠提示、锁定倒计时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主要操作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切换楼层和仓型、选仓、刷新报价、锁仓；状态必须同时使用文字和颜色表达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通用状态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骨架屏、空态、无网络、超时、无权限、数据已变化、提交中、提交成功和提交失败必须分别实现</w:t>
            </w:r>
          </w:p>
        </w:tc>
      </w:tr>
    </w:tbl>
    <w:p>
      <w:pPr>
        <w:spacing w:after="20"/>
      </w:pP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主按钮在提交期间禁用并显示加载态；返回结果前重复点击复用同一 Idempotency-Key。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错误提示必须说明发生了什么、是否已生效和下一步可执行操作，不显示内部堆栈或第三方原始错误。</w:t>
      </w:r>
    </w:p>
    <w:p>
      <w:pPr>
        <w:pStyle w:val="Heading2"/>
      </w:pPr>
      <w:r>
        <w:t>4.4 订单确认与电子签约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187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属性</w:t>
            </w:r>
          </w:p>
        </w:tc>
        <w:tc>
          <w:tcPr>
            <w:tcW w:type="dxa" w:w="763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要求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建议路由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/pages/storage/sign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入口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锁仓成功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页面字段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客户实名资料、门店/仓号/面积、租期、租金、按金、服务费、合同版本、必选协议、可选授权、签名、报价有效期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主要操作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查看全文、勾选必选协议、横屏签名、提交签署；合同版本变化返回409并要求重读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通用状态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骨架屏、空态、无网络、超时、无权限、数据已变化、提交中、提交成功和提交失败必须分别实现</w:t>
            </w:r>
          </w:p>
        </w:tc>
      </w:tr>
    </w:tbl>
    <w:p>
      <w:pPr>
        <w:spacing w:after="20"/>
      </w:pP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主按钮在提交期间禁用并显示加载态；返回结果前重复点击复用同一 Idempotency-Key。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错误提示必须说明发生了什么、是否已生效和下一步可执行操作，不显示内部堆栈或第三方原始错误。</w:t>
      </w:r>
    </w:p>
    <w:p>
      <w:pPr>
        <w:pStyle w:val="Heading2"/>
      </w:pPr>
      <w:r>
        <w:t>4.5 保险与优惠确认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187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属性</w:t>
            </w:r>
          </w:p>
        </w:tc>
        <w:tc>
          <w:tcPr>
            <w:tcW w:type="dxa" w:w="763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要求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建议路由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/pages/storage/insurance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入口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签约完成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页面字段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保险方案、保障金额、月费、条款、优惠券资格、推荐码、原价、优惠、首期应付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主要操作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保险可不选；选保险必须勾选条款；优惠券与推荐码互斥；金额只展示服务端结果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通用状态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骨架屏、空态、无网络、超时、无权限、数据已变化、提交中、提交成功和提交失败必须分别实现</w:t>
            </w:r>
          </w:p>
        </w:tc>
      </w:tr>
    </w:tbl>
    <w:p>
      <w:pPr>
        <w:spacing w:after="20"/>
      </w:pP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主按钮在提交期间禁用并显示加载态；返回结果前重复点击复用同一 Idempotency-Key。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错误提示必须说明发生了什么、是否已生效和下一步可执行操作，不显示内部堆栈或第三方原始错误。</w:t>
      </w:r>
    </w:p>
    <w:p>
      <w:pPr>
        <w:pStyle w:val="Heading2"/>
      </w:pPr>
      <w:r>
        <w:t>4.6 统一支付与结果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187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属性</w:t>
            </w:r>
          </w:p>
        </w:tc>
        <w:tc>
          <w:tcPr>
            <w:tcW w:type="dxa" w:w="763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要求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建议路由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/pages/pay/index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入口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订单创建成功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页面字段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订单号、支付单号、应付金额、币种、支付方式、支付状态、渠道流水、付款时间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主要操作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支付、3DS、轮询、失败重试、返回订单；不得以前端成功页直接修改订单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通用状态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骨架屏、空态、无网络、超时、无权限、数据已变化、提交中、提交成功和提交失败必须分别实现</w:t>
            </w:r>
          </w:p>
        </w:tc>
      </w:tr>
    </w:tbl>
    <w:p>
      <w:pPr>
        <w:spacing w:after="20"/>
      </w:pP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主按钮在提交期间禁用并显示加载态；返回结果前重复点击复用同一 Idempotency-Key。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错误提示必须说明发生了什么、是否已生效和下一步可执行操作，不显示内部堆栈或第三方原始错误。</w:t>
      </w:r>
    </w:p>
    <w:p>
      <w:pPr>
        <w:pStyle w:val="Heading1"/>
      </w:pPr>
      <w:r>
        <w:t>5 业务规则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登录前允许浏览；首次锁仓、签约、支付要求登录，登录成功后恢复原页面及已选条件。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库存锁定必须由服务端原子执行。同一仓位同一时段只能存在一个有效 holdToken；默认10分钟，可后台配置。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报价必须生成 quoteId、version、expiresAt 与金额明细；仓位、起租日、租期或优惠变化必须重新报价。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客户端不得计算最终金额。所有金额使用 amountMinor 与 currency=HKD；页面同时显示租金、按金、保险、服务费、优惠和应付。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必选合同签署成功后才允许创建支付意图；签名记录保存 signerId、signedAt、templateVersion、consentIds、signatureHash 和 fileHash。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优惠券和推荐码互斥；切换时明确提示并二次请求营销试算。优惠只在付款成功后核销，失败或关闭不得消耗。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支付成功以服务端 webhook 为准。客户端轮询超时进入‘结果确认中’，不得再次创建同订单支付单。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激活租约须同时成功写入租约、仓位占用与门禁授权；部分失败进入补偿队列并生成后台异常任务。</w:t>
      </w:r>
    </w:p>
    <w:p>
      <w:pPr>
        <w:pStyle w:val="Heading1"/>
      </w:pPr>
      <w:r>
        <w:t>6 接口契约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16"/>
        <w:gridCol w:w="2416"/>
        <w:gridCol w:w="2416"/>
        <w:gridCol w:w="2416"/>
      </w:tblGrid>
      <w:tr>
        <w:trPr>
          <w:tblHeader/>
        </w:trPr>
        <w:tc>
          <w:tcPr>
            <w:tcW w:type="dxa" w:w="79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5"/>
              </w:rPr>
              <w:t>方法</w:t>
            </w:r>
          </w:p>
        </w:tc>
        <w:tc>
          <w:tcPr>
            <w:tcW w:type="dxa" w:w="331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5"/>
              </w:rPr>
              <w:t>接口</w:t>
            </w:r>
          </w:p>
        </w:tc>
        <w:tc>
          <w:tcPr>
            <w:tcW w:type="dxa" w:w="410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5"/>
              </w:rPr>
              <w:t>用途</w:t>
            </w:r>
          </w:p>
        </w:tc>
        <w:tc>
          <w:tcPr>
            <w:tcW w:type="dxa" w:w="1296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5"/>
              </w:rPr>
              <w:t>幂等要求</w:t>
            </w:r>
          </w:p>
        </w:tc>
      </w:tr>
      <w:t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GET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/miniapp/stores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按位置、区域、筛选条件查询门店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否</w:t>
            </w:r>
          </w:p>
        </w:tc>
      </w:tr>
      <w:tr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GET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/miniapp/stores/{storeId}/units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查询仓位与实时可租状态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否</w:t>
            </w:r>
          </w:p>
        </w:tc>
      </w:tr>
      <w:t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POST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/storage/holds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原子锁定仓位并返回 holdToken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是，Idempotency-Key</w:t>
            </w:r>
          </w:p>
        </w:tc>
      </w:tr>
      <w:tr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POST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/pricing/storage/quote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生成版本化报价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是，requestId</w:t>
            </w:r>
          </w:p>
        </w:tc>
      </w:tr>
      <w:t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POST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/contracts/{orderDraftId}/sign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提交同意项与签名摘要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是，signatureRequestId</w:t>
            </w:r>
          </w:p>
        </w:tc>
      </w:tr>
      <w:tr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POST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/orders/storage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基于 holdToken 与 quoteId 创建订单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是，clientRequestId</w:t>
            </w:r>
          </w:p>
        </w:tc>
      </w:tr>
      <w:t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POST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/payments/intents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创建支付意图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是，orderId+attemptNo</w:t>
            </w:r>
          </w:p>
        </w:tc>
      </w:tr>
      <w:tr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GET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/orders/{orderId}/payment-result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查询服务端确认结果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否</w:t>
            </w:r>
          </w:p>
        </w:tc>
      </w:tr>
    </w:tbl>
    <w:p>
      <w:pPr>
        <w:spacing w:after="20"/>
      </w:pP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响应通用字段：code、message、data、traceId、serverTime；分页使用 nextCursor；金额使用整数最小货币单位。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写接口必须校验登录用户与资源归属；Idempotency-Key 建议保留24小时，重复请求返回首次业务结果。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错误码至少区分 VALIDATION_ERROR、NOT_ELIGIBLE、VERSION_CONFLICT、RESOURCE_LOCKED、PAYMENT_PENDING、FORBIDDEN 和 SERVICE_UNAVAILABLE。</w:t>
      </w:r>
    </w:p>
    <w:p>
      <w:pPr>
        <w:pStyle w:val="Heading1"/>
      </w:pPr>
      <w:r>
        <w:t>7 跨端交互和数据一致性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223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方向</w:t>
            </w:r>
          </w:p>
        </w:tc>
        <w:tc>
          <w:tcPr>
            <w:tcW w:type="dxa" w:w="727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规则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小程序到运营后台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小程序只调用BFF或领域服务；提交后后台通过同一业务单据查看、审批或异常处理，不接受直接写后台数据库。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运营后台到小程序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后台变更先写领域状态并发布事件；小程序通过详情刷新、消息通知或轮询获取，不依赖前端本地推断。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后台到工单小程序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需要线下执行时生成 workOrderId，包含orderId、任务类型、时间窗、地点、对象清单、SLA和附件要求。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工单小程序到客户小程序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工单节点、扫码结果、照片和异常先回传领域服务，再追加客户可见时间线；内部备注不得下发。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消息通知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关键节点通过订阅消息/站内消息发送，payload仅带业务编号与深链，不包含敏感合同或门禁凭证。</w:t>
            </w:r>
          </w:p>
        </w:tc>
      </w:tr>
    </w:tbl>
    <w:p>
      <w:pPr>
        <w:spacing w:after="20"/>
      </w:pPr>
    </w:p>
    <w:p>
      <w:pPr>
        <w:pStyle w:val="Heading2"/>
      </w:pPr>
      <w:r>
        <w:t>7.1 领域事件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storage.hold.created：事件必须包含 eventId、aggregateId、aggregateVersion、occurredAt、operatorType、traceId。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storage.hold.expired：事件必须包含 eventId、aggregateId、aggregateVersion、occurredAt、operatorType、traceId。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contract.signed：事件必须包含 eventId、aggregateId、aggregateVersion、occurredAt、operatorType、traceId。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order.created：事件必须包含 eventId、aggregateId、aggregateVersion、occurredAt、operatorType、traceId。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payment.confirmed：事件必须包含 eventId、aggregateId、aggregateVersion、occurredAt、operatorType、traceId。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rental.activated：事件必须包含 eventId、aggregateId、aggregateVersion、occurredAt、operatorType、traceId。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rental.activation_failed：事件必须包含 eventId、aggregateId、aggregateVersion、occurredAt、operatorType、traceId。</w:t>
      </w:r>
    </w:p>
    <w:p>
      <w:pPr>
        <w:pStyle w:val="Heading1"/>
      </w:pPr>
      <w:r>
        <w:t>8 异常与恢复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221"/>
        <w:gridCol w:w="3221"/>
        <w:gridCol w:w="3221"/>
      </w:tblGrid>
      <w:tr>
        <w:trPr>
          <w:tblHeader/>
        </w:trPr>
        <w:tc>
          <w:tcPr>
            <w:tcW w:type="dxa" w:w="194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场景</w:t>
            </w:r>
          </w:p>
        </w:tc>
        <w:tc>
          <w:tcPr>
            <w:tcW w:type="dxa" w:w="2880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识别条件</w:t>
            </w:r>
          </w:p>
        </w:tc>
        <w:tc>
          <w:tcPr>
            <w:tcW w:type="dxa" w:w="4680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客户侧与后台处理</w:t>
            </w:r>
          </w:p>
        </w:tc>
      </w:tr>
      <w:tr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仓位被抢占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锁仓返回409 UNIT_NOT_AVAILABLE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保留筛选条件，刷新同类可租仓位，不创建订单</w:t>
            </w:r>
          </w:p>
        </w:tc>
      </w:tr>
      <w:tr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锁仓超时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倒计时结束或服务端410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释放本地选择，提示重新锁仓和重新报价</w:t>
            </w:r>
          </w:p>
        </w:tc>
      </w:tr>
      <w:tr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价格发生变化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quote version不一致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展示新旧金额差异并要求再次确认</w:t>
            </w:r>
          </w:p>
        </w:tc>
      </w:tr>
      <w:tr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支付结果未知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客户端超时/断网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展示确认中并轮询；后台可按支付单号人工核对</w:t>
            </w:r>
          </w:p>
        </w:tc>
      </w:tr>
      <w:tr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租约激活失败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支付已成功但门禁或仓位同步失败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订单显示生效处理中，生成高优先级后台异常任务，不重复扣款</w:t>
            </w:r>
          </w:p>
        </w:tc>
      </w:tr>
    </w:tbl>
    <w:p>
      <w:pPr>
        <w:spacing w:after="20"/>
      </w:pPr>
    </w:p>
    <w:p>
      <w:pPr>
        <w:pStyle w:val="Heading1"/>
      </w:pPr>
      <w:r>
        <w:t>9 非功能与安全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性能：列表首屏P95不超过2秒，详情P95不超过1.5秒，写操作受理P95不超过2秒；长流程以受理结果加异步进度返回。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可用性：读取接口目标99.9%，写接口失败不得留下不可识别中间态；跨服务写入使用事务消息或outbox补偿。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安全：手机号、地址、签名、门禁凭证和支付数据按最小权限展示；日志脱敏，下载资产使用短时签名URL。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审计：所有状态变更记录前后值、操作者、来源端、原因码、时间和traceId；客户可见文案与内部备注分离。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国际化：简体中文、繁体中文、英文不允许截断；日期、货币和地址按香港业务规范展示。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可观测性：监控接口成功率、业务转化、状态停留时长、事件积压、重复回调和补偿任务数量。</w:t>
      </w:r>
    </w:p>
    <w:p>
      <w:pPr>
        <w:pStyle w:val="Heading1"/>
      </w:pPr>
      <w:r>
        <w:t>10 埋点与指标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221"/>
        <w:gridCol w:w="3221"/>
        <w:gridCol w:w="3221"/>
      </w:tblGrid>
      <w:tr>
        <w:trPr>
          <w:tblHeader/>
        </w:trPr>
        <w:tc>
          <w:tcPr>
            <w:tcW w:type="dxa" w:w="194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事件</w:t>
            </w:r>
          </w:p>
        </w:tc>
        <w:tc>
          <w:tcPr>
            <w:tcW w:type="dxa" w:w="2376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触发</w:t>
            </w:r>
          </w:p>
        </w:tc>
        <w:tc>
          <w:tcPr>
            <w:tcW w:type="dxa" w:w="518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关键属性</w:t>
            </w:r>
          </w:p>
        </w:tc>
      </w:tr>
      <w:tr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page_view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进入页面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pageCode、source、orderId可选、businessType</w:t>
            </w:r>
          </w:p>
        </w:tc>
      </w:tr>
      <w:tr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action_click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点击主要操作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actionCode、statusCode、allowed、orderVersion</w:t>
            </w:r>
          </w:p>
        </w:tc>
      </w:tr>
      <w:tr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submit_result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写操作完成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requestId、result、errorCode、durationMs、traceId</w:t>
            </w:r>
          </w:p>
        </w:tc>
      </w:tr>
      <w:tr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flow_step_changed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业务节点变化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fromStatus、toStatus、eventId、operatorType</w:t>
            </w:r>
          </w:p>
        </w:tc>
      </w:tr>
    </w:tbl>
    <w:p>
      <w:pPr>
        <w:spacing w:after="20"/>
      </w:pPr>
    </w:p>
    <w:p>
      <w:pPr>
        <w:pStyle w:val="Heading1"/>
      </w:pPr>
      <w:r>
        <w:t>11 验收标准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AC-01 给定未登录客户已选仓位，当完成登录时，系统恢复原门店、仓位、起租日与租期，并重新校验 holdToken。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AC-02 给定两个客户并发锁定同一仓位，当请求到达服务端时，只允许一个成功，另一个收到可恢复的409提示。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AC-03 给定合同版本在签署前更新，当客户提交旧版本时，系统拒绝签署并要求重新阅读。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AC-04 给定支付 webhook 重复投递，当处理相同事件时，只激活一次租约且只核销一次优惠。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AC-05 给定支付成功但门禁失败，当客户查看订单时，显示生效处理中且后台存在可追踪异常任务。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接口、数据库、运营后台和工单小程序均能以同一业务编号追踪全链路，且测试环境可重复构造正常、并发、超时和补偿场景。</w:t>
      </w:r>
    </w:p>
    <w:p>
      <w:pPr>
        <w:pStyle w:val="Heading1"/>
      </w:pPr>
      <w:r>
        <w:t>12 研发交付清单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194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角色</w:t>
            </w:r>
          </w:p>
        </w:tc>
        <w:tc>
          <w:tcPr>
            <w:tcW w:type="dxa" w:w="7560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交付物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产品与设计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页面状态稿、字段字典、文案三语、业务规则和验收用例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小程序前端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页面与组件、登录恢复、状态处理、埋点、无障碍和错误恢复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BFF与领域后端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OpenAPI、状态机、幂等、权限、事件、补偿任务和审计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运营后台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主数据配置、审批/异常处理、查询、重试、人工兜底和导出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工单小程序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任务领取、扫码、附件、节点回传、异常上报和离线保护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测试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端到端、并发、重试、权限、三语、弱网、事件重复和补偿验证</w:t>
            </w:r>
          </w:p>
        </w:tc>
      </w:tr>
    </w:tbl>
    <w:p>
      <w:pPr>
        <w:spacing w:after="20"/>
      </w:pPr>
    </w:p>
    <w:sectPr w:rsidR="00FC693F" w:rsidRPr="0006063C" w:rsidSect="00034616">
      <w:headerReference w:type="default" r:id="rId9"/>
      <w:footerReference w:type="default" r:id="rId10"/>
      <w:pgSz w:w="11909" w:h="16834"/>
      <w:pgMar w:top="1123" w:right="1123" w:bottom="1037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 w:eastAsia="Microsoft YaHei"/>
        <w:b w:val="0"/>
        <w:color w:val="667085"/>
        <w:sz w:val="16"/>
      </w:rPr>
      <w:t xml:space="preserve">V2.0 | 2026-09-08 | </w:t>
      <w:fldChar w:fldCharType="begin"/>
      <w:instrText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Arial" w:hAnsi="Arial" w:eastAsia="Microsoft YaHei"/>
        <w:b/>
        <w:color w:val="17365D"/>
        <w:sz w:val="16"/>
      </w:rPr>
      <w:t>ONE STORAGE | 客户小程序 | MP-ST-01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Arial" w:hAnsi="Arial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 w:ascii="Arial" w:hAnsi="Arial" w:eastAsia="Microsoft YaHe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60" w:after="120"/>
      <w:outlineLvl w:val="1"/>
    </w:pPr>
    <w:rPr>
      <w:rFonts w:asciiTheme="majorHAnsi" w:eastAsiaTheme="majorEastAsia" w:hAnsiTheme="majorHAnsi" w:cstheme="majorBidi" w:ascii="Arial" w:hAnsi="Arial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rial" w:hAnsi="Arial" w:eastAsia="Microsoft YaHei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360" w:line="240" w:lineRule="auto" w:before="0"/>
      <w:contextualSpacing/>
    </w:pPr>
    <w:rPr>
      <w:rFonts w:asciiTheme="majorHAnsi" w:eastAsiaTheme="majorEastAsia" w:hAnsiTheme="majorHAnsi" w:cstheme="majorBidi" w:ascii="Arial" w:hAnsi="Arial" w:eastAsia="Microsoft YaHei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