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YaHei"/>
          <w:b/>
          <w:color w:val="000000"/>
          <w:sz w:val="48"/>
        </w:rPr>
        <w:t>迷你仓开锁 PRD</w:t>
      </w:r>
    </w:p>
    <w:p>
      <w:r>
        <w:rPr>
          <w:rFonts w:ascii="Arial" w:hAnsi="Arial" w:eastAsia="Microsoft YaHei"/>
          <w:b w:val="0"/>
          <w:color w:val="667085"/>
          <w:sz w:val="21"/>
        </w:rPr>
        <w:t>客户小程序研发详细需求规格 | V2.0 | 2026-09-08</w:t>
      </w:r>
    </w:p>
    <w:p>
      <w:r>
        <w:rPr>
          <w:rFonts w:ascii="Arial" w:hAnsi="Arial" w:eastAsia="Microsoft YaHei"/>
          <w:b w:val="0"/>
          <w:color w:val="000000"/>
          <w:sz w:val="22"/>
        </w:rPr>
        <w:t>定义客户对有效租约仓位进行定位校验、查看临时门禁凭证与开锁审计的研发规格。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41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MP-ST-02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适用端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OneStorage 客户小程序、运营后台、工单小程序及相关领域服务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可开锁仓位选择、租约资格校验、地理围栏、临时密码或远程开锁、失败降级、安全审计。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不在本模块范围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门禁设备协议和硬件施工。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研发用途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页面拆分、接口联调、服务端状态机、测试用例和跨端验收的共同基线</w:t>
            </w:r>
          </w:p>
        </w:tc>
      </w:tr>
    </w:tbl>
    <w:p>
      <w:pPr>
        <w:spacing w:after="20"/>
      </w:pPr>
    </w:p>
    <w:p>
      <w:pPr>
        <w:pStyle w:val="Heading1"/>
      </w:pPr>
      <w:r>
        <w:t>1 目标与边界</w:t>
      </w:r>
    </w:p>
    <w:p>
      <w:r>
        <w:t>定义客户对有效租约仓位进行定位校验、查看临时门禁凭证与开锁审计的研发规格。</w:t>
      </w:r>
    </w:p>
    <w:p>
      <w:pPr>
        <w:pStyle w:val="Heading2"/>
      </w:pPr>
      <w:r>
        <w:t>1.1 本期范围</w:t>
      </w:r>
    </w:p>
    <w:p>
      <w:r>
        <w:t>可开锁仓位选择、租约资格校验、地理围栏、临时密码或远程开锁、失败降级、安全审计。</w:t>
      </w:r>
    </w:p>
    <w:p>
      <w:pPr>
        <w:pStyle w:val="Heading2"/>
      </w:pPr>
      <w:r>
        <w:t>1.2 不在本模块范围</w:t>
      </w:r>
    </w:p>
    <w:p>
      <w:r>
        <w:t>门禁设备协议和硬件施工。</w:t>
      </w:r>
    </w:p>
    <w:p>
      <w:pPr>
        <w:pStyle w:val="Heading2"/>
      </w:pPr>
      <w:r>
        <w:t>1.3 角色与系统责任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角色或系统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浏览、选择、签约、付款、提交申请、查询进度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采集意图并展示服务端状态，不自行决定价格、库存、资格或审批结果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维护主数据、价格、库存、可操作项、审批、异常处理和人工改派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承接送取、验收、搬仓、清仓等线下任务，回传节点、附件和异常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领域服务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保存订单、租约、箱体、预约、支付与合同的权威状态并发布事件</w:t>
            </w:r>
          </w:p>
        </w:tc>
      </w:tr>
    </w:tbl>
    <w:p>
      <w:pPr>
        <w:spacing w:after="20"/>
      </w:pPr>
    </w:p>
    <w:p>
      <w:pPr>
        <w:pStyle w:val="Heading1"/>
      </w:pPr>
      <w:r>
        <w:t>2 BPMN 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014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orage-unlock-bpm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1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2-1 迷你仓开锁 BPMN 流程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圆形表示开始或结束事件，圆角矩形表示任务，菱形表示服务端判断。跨泳道连线代表接口调用或事件同步。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运营后台与工单小程序不得直接覆盖客户侧状态；所有节点先写入领域服务，再通过事件刷新订单聚合视图。</w:t>
      </w:r>
    </w:p>
    <w:p>
      <w:pPr>
        <w:pStyle w:val="Heading1"/>
      </w:pPr>
      <w:r>
        <w:t>3 状态机与准入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状态码</w:t>
            </w:r>
          </w:p>
        </w:tc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客户文案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ELIGIBLE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可开锁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租约有效且无欠费限制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定位校验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LOCATING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定位中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获取客户位置与精度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通过或失败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AUTHORIZED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已授权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一次性凭证有效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执行开锁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OPENED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已开锁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设备回执成功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审计完成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DENIED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已拒绝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超距、欠费、租约无效或风控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联系客服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EXPIRED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凭证失效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超过有效期或已使用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重新申请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状态码是跨端契约，中文文案允许国际化配置但不得作为业务判断条件。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详情接口返回 orderVersion 或 aggregateVersion；任何写操作必须携带该版本并处理409并发冲突。</w:t>
      </w:r>
    </w:p>
    <w:p>
      <w:pPr>
        <w:pStyle w:val="Heading1"/>
      </w:pPr>
      <w:r>
        <w:t>4 页面与交互</w:t>
      </w:r>
    </w:p>
    <w:p>
      <w:pPr>
        <w:pStyle w:val="Heading2"/>
      </w:pPr>
      <w:r>
        <w:t>4.1 开锁首页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/pages/unlock/index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底部开锁、订单详情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可开锁租约、门店、楼层、仓号、租约状态、距离要求、欠费限制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选择仓位、检查位置、联系客服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pStyle w:val="Heading2"/>
      </w:pPr>
      <w:r>
        <w:t>4.2 开锁凭证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/pages/unlock/credential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校验通过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一次性密码或开锁按钮、有效期、门店提示、安全须知、traceId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复制密码、远程开锁、重新获取；禁止截屏时需按平台能力提示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pStyle w:val="Heading1"/>
      </w:pPr>
      <w:r>
        <w:t>5 业务规则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只有本人有效租约且 allowedActions 包含 UNLOCK 才展示入口。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默认地理围栏50米，服务端按门店配置判定；客户端定位仅供请求参数。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凭证一次性、短时有效、不得落本地持久缓存；切后台超过有效期必须重新申请。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每次申请和执行记录 customerId、rentalId、unitId、设备、位置精度、结果、失败原因与traceId。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定位失败时不得绕过校验；可展示门店人工验证联系方式。</w:t>
      </w:r>
    </w:p>
    <w:p>
      <w:pPr>
        <w:pStyle w:val="Heading1"/>
      </w:pPr>
      <w:r>
        <w:t>6 接口契约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79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接口</w:t>
            </w:r>
          </w:p>
        </w:tc>
        <w:tc>
          <w:tcPr>
            <w:tcW w:type="dxa" w:w="410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幂等要求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/rentals/unlock-eligible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查询本人可开锁租约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/access/location-check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服务端校验位置与资格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是，requestId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/access/credentials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签发一次性门禁凭证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是，requestId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/access/open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执行远程开锁并等待设备回执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是，credentialId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响应通用字段：code、message、data、traceId、serverTime；分页使用 nextCursor；金额使用整数最小货币单位。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写接口必须校验登录用户与资源归属；Idempotency-Key 建议保留24小时，重复请求返回首次业务结果。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错误码至少区分 VALIDATION_ERROR、NOT_ELIGIBLE、VERSION_CONFLICT、RESOURCE_LOCKED、PAYMENT_PENDING、FORBIDDEN 和 SERVICE_UNAVAILABLE。</w:t>
      </w:r>
    </w:p>
    <w:p>
      <w:pPr>
        <w:pStyle w:val="Heading1"/>
      </w:pPr>
      <w:r>
        <w:t>7 跨端交互和数据一致性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小程序到运营后台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小程序只调用BFF或领域服务；提交后后台通过同一业务单据查看、审批或异常处理，不接受直接写后台数据库。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运营后台到小程序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后台变更先写领域状态并发布事件；小程序通过详情刷新、消息通知或轮询获取，不依赖前端本地推断。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后台到工单小程序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需要线下执行时生成 workOrderId，包含orderId、任务类型、时间窗、地点、对象清单、SLA和附件要求。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工单小程序到客户小程序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工单节点、扫码结果、照片和异常先回传领域服务，再追加客户可见时间线；内部备注不得下发。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消息通知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关键节点通过订阅消息/站内消息发送，payload仅带业务编号与深链，不包含敏感合同或门禁凭证。</w:t>
            </w:r>
          </w:p>
        </w:tc>
      </w:tr>
    </w:tbl>
    <w:p>
      <w:pPr>
        <w:spacing w:after="20"/>
      </w:pPr>
    </w:p>
    <w:p>
      <w:pPr>
        <w:pStyle w:val="Heading2"/>
      </w:pPr>
      <w:r>
        <w:t>7.1 领域事件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access.credential_issued：事件必须包含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access.open_succeeded：事件必须包含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access.open_failed：事件必须包含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access.risk_blocked：事件必须包含 eventId、aggregateId、aggregateVersion、occurredAt、operatorType、traceId。</w:t>
      </w:r>
    </w:p>
    <w:p>
      <w:pPr>
        <w:pStyle w:val="Heading1"/>
      </w:pPr>
      <w:r>
        <w:t>8 异常与恢复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识别条件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客户侧与后台处理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定位权限拒绝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无位置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解释用途并允许去设置或联系门店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位置精度不足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accuracy超阈值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提示移动到门店入口后重试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设备离线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门禁服务返回503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展示临时密码或人工验证，依门店配置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租约受限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欠费或已结束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隐藏凭证并展示业务原因码</w:t>
            </w:r>
          </w:p>
        </w:tc>
      </w:tr>
    </w:tbl>
    <w:p>
      <w:pPr>
        <w:spacing w:after="20"/>
      </w:pPr>
    </w:p>
    <w:p>
      <w:pPr>
        <w:pStyle w:val="Heading1"/>
      </w:pPr>
      <w:r>
        <w:t>9 非功能与安全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性能：列表首屏P95不超过2秒，详情P95不超过1.5秒，写操作受理P95不超过2秒；长流程以受理结果加异步进度返回。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可用性：读取接口目标99.9%，写接口失败不得留下不可识别中间态；跨服务写入使用事务消息或outbox补偿。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安全：手机号、地址、签名、门禁凭证和支付数据按最小权限展示；日志脱敏，下载资产使用短时签名URL。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审计：所有状态变更记录前后值、操作者、来源端、原因码、时间和traceId；客户可见文案与内部备注分离。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国际化：简体中文、繁体中文、英文不允许截断；日期、货币和地址按香港业务规范展示。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可观测性：监控接口成功率、业务转化、状态停留时长、事件积压、重复回调和补偿任务数量。</w:t>
      </w:r>
    </w:p>
    <w:p>
      <w:pPr>
        <w:pStyle w:val="Heading1"/>
      </w:pPr>
      <w:r>
        <w:t>10 埋点与指标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关键属性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page_view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进入页面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pageCode、source、orderId可选、businessType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action_click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点击主要操作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actionCode、statusCode、allowed、orderVersion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submit_result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写操作完成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requestId、result、errorCode、durationMs、traceId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flow_step_changed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业务节点变化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fromStatus、toStatus、eventId、operatorType</w:t>
            </w:r>
          </w:p>
        </w:tc>
      </w:tr>
    </w:tbl>
    <w:p>
      <w:pPr>
        <w:spacing w:after="20"/>
      </w:pPr>
    </w:p>
    <w:p>
      <w:pPr>
        <w:pStyle w:val="Heading1"/>
      </w:pPr>
      <w:r>
        <w:t>11 验收标准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AC-01 非本人或已结束租约无法获取凭证。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AC-02 重复点击开锁不会生成多次有效凭证。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AC-03 超出地理围栏时服务端拒绝且客户端不展示密码。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AC-04 所有成功和失败开锁均可在后台按traceId查询。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接口、数据库、运营后台和工单小程序均能以同一业务编号追踪全链路，且测试环境可重复构造正常、并发、超时和补偿场景。</w:t>
      </w:r>
    </w:p>
    <w:p>
      <w:pPr>
        <w:pStyle w:val="Heading1"/>
      </w:pPr>
      <w:r>
        <w:t>12 研发交付清单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56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产品与设计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页面状态稿、字段字典、文案三语、业务规则和验收用例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小程序前端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页面与组件、登录恢复、状态处理、埋点、无障碍和错误恢复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BFF与领域后端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OpenAPI、状态机、幂等、权限、事件、补偿任务和审计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主数据配置、审批/异常处理、查询、重试、人工兜底和导出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任务领取、扫码、附件、节点回传、异常上报和离线保护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测试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端到端、并发、重试、权限、三语、弱网、事件重复和补偿验证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667085"/>
        <w:sz w:val="16"/>
      </w:rPr>
      <w:t xml:space="preserve">V2.0 | 2026-09-08 | </w:t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b/>
        <w:color w:val="17365D"/>
        <w:sz w:val="16"/>
      </w:rPr>
      <w:t>ONE STORAGE | 客户小程序 | MP-ST-02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