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0FC" w:rsidRDefault="00A73BDC">
      <w:pPr>
        <w:rPr>
          <w:b/>
          <w:u w:val="single"/>
        </w:rPr>
      </w:pPr>
      <w:r>
        <w:rPr>
          <w:b/>
          <w:u w:val="single"/>
        </w:rPr>
        <w:t>Regression Analysis</w:t>
      </w:r>
    </w:p>
    <w:p w:rsidR="00A73BDC" w:rsidRDefault="00A73BDC">
      <w:pPr>
        <w:rPr>
          <w:b/>
          <w:u w:val="single"/>
        </w:rPr>
      </w:pPr>
      <w:r>
        <w:rPr>
          <w:b/>
          <w:u w:val="single"/>
        </w:rPr>
        <w:t>Rolls-Royce Weekly Excess Returns against Market Weekly Excess Returns</w:t>
      </w:r>
    </w:p>
    <w:p w:rsidR="00A73BDC" w:rsidRDefault="00A73BDC">
      <w:pPr>
        <w:rPr>
          <w:b/>
          <w:u w:val="single"/>
        </w:rPr>
      </w:pPr>
      <w:r w:rsidRPr="00A73BDC">
        <w:rPr>
          <w:b/>
          <w:u w:val="single"/>
        </w:rPr>
        <w:drawing>
          <wp:inline distT="0" distB="0" distL="0" distR="0" wp14:anchorId="5288FC28" wp14:editId="332CC4B3">
            <wp:extent cx="5731510" cy="34174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417474"/>
                    </a:xfrm>
                    <a:prstGeom prst="rect">
                      <a:avLst/>
                    </a:prstGeom>
                  </pic:spPr>
                </pic:pic>
              </a:graphicData>
            </a:graphic>
          </wp:inline>
        </w:drawing>
      </w:r>
    </w:p>
    <w:p w:rsidR="00A73BDC" w:rsidRDefault="00A73BDC">
      <w:r>
        <w:t>This graph was created by computing the excess returns of both the Market (FTSE 100) and Rolls Royce. The method used was as follows:</w:t>
      </w:r>
    </w:p>
    <w:p w:rsidR="00A73BDC" w:rsidRDefault="00A73BDC">
      <w:r>
        <w:t>Weekly returns</w:t>
      </w:r>
      <w:r w:rsidR="007F458E">
        <w:t xml:space="preserve"> for</w:t>
      </w:r>
      <w:r>
        <w:t xml:space="preserve"> Rolls-Royce</w:t>
      </w:r>
      <w:r w:rsidR="007F458E">
        <w:t>, the FTSE 100 and</w:t>
      </w:r>
      <w:r w:rsidR="008E4042">
        <w:t xml:space="preserve"> Government bonds</w:t>
      </w:r>
      <w:r>
        <w:t xml:space="preserve"> were calculated using the formula:</w:t>
      </w:r>
    </w:p>
    <w:p w:rsidR="00A73BDC" w:rsidRPr="00A73BDC" w:rsidRDefault="00A73BDC">
      <w:pPr>
        <w:rPr>
          <w:rFonts w:eastAsiaTheme="minorEastAsia"/>
        </w:rPr>
      </w:pPr>
      <m:oMathPara>
        <m:oMath>
          <m:sSub>
            <m:sSubPr>
              <m:ctrlPr>
                <w:rPr>
                  <w:rFonts w:ascii="Cambria Math" w:hAnsi="Cambria Math"/>
                  <w:i/>
                </w:rPr>
              </m:ctrlPr>
            </m:sSubPr>
            <m:e>
              <m:r>
                <w:rPr>
                  <w:rFonts w:ascii="Cambria Math" w:hAnsi="Cambria Math"/>
                </w:rPr>
                <m:t>HPR</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+Income- </m:t>
              </m:r>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oMath>
      </m:oMathPara>
    </w:p>
    <w:p w:rsidR="00A73BDC" w:rsidRDefault="008E4042">
      <w:pPr>
        <w:rPr>
          <w:rFonts w:eastAsiaTheme="minorEastAsia"/>
        </w:rPr>
      </w:pPr>
      <w:r>
        <w:rPr>
          <w:rFonts w:eastAsiaTheme="minorEastAsia"/>
        </w:rPr>
        <w:t>These weekly returns are shown in Appendix X.</w:t>
      </w:r>
    </w:p>
    <w:p w:rsidR="008E4042" w:rsidRDefault="008E4042">
      <w:pPr>
        <w:rPr>
          <w:rFonts w:eastAsiaTheme="minorEastAsia"/>
        </w:rPr>
      </w:pPr>
      <w:r>
        <w:rPr>
          <w:rFonts w:eastAsiaTheme="minorEastAsia"/>
        </w:rPr>
        <w:t xml:space="preserve">Following this, </w:t>
      </w:r>
      <w:r w:rsidR="007F458E">
        <w:rPr>
          <w:rFonts w:eastAsiaTheme="minorEastAsia"/>
        </w:rPr>
        <w:t>the Government bonds were used as a proxy for the risk free rate, and therefore subtracted from each weekly return for Rolls-Royce and the FTSE 100, giving two columns of excess returns, shown in Appendix X.</w:t>
      </w:r>
    </w:p>
    <w:p w:rsidR="002418CD" w:rsidRDefault="002418CD">
      <w:pPr>
        <w:rPr>
          <w:rFonts w:eastAsiaTheme="minorEastAsia"/>
        </w:rPr>
      </w:pPr>
      <w:r>
        <w:rPr>
          <w:rFonts w:eastAsiaTheme="minorEastAsia"/>
        </w:rPr>
        <w:t xml:space="preserve">The excess returns for the company were </w:t>
      </w:r>
      <w:r w:rsidR="00FD717A">
        <w:rPr>
          <w:rFonts w:eastAsiaTheme="minorEastAsia"/>
        </w:rPr>
        <w:t>plotted on the y-axis and the excess returns for the market (FTSE 100) on the x-axis.</w:t>
      </w:r>
    </w:p>
    <w:p w:rsidR="001F00E0" w:rsidRDefault="001F00E0">
      <w:pPr>
        <w:rPr>
          <w:rFonts w:eastAsiaTheme="minorEastAsia"/>
        </w:rPr>
      </w:pPr>
      <w:r>
        <w:rPr>
          <w:rFonts w:eastAsiaTheme="minorEastAsia"/>
        </w:rPr>
        <w:t>The regression results are given below:</w:t>
      </w:r>
    </w:p>
    <w:p w:rsidR="001F00E0" w:rsidRDefault="00FE2381" w:rsidP="00FE2381">
      <w:pPr>
        <w:jc w:val="both"/>
      </w:pPr>
      <w:r w:rsidRPr="00FE2381">
        <w:lastRenderedPageBreak/>
        <w:drawing>
          <wp:inline distT="0" distB="0" distL="0" distR="0" wp14:anchorId="6E6982D4" wp14:editId="60CCE4B1">
            <wp:extent cx="6505832"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0550" cy="2230466"/>
                    </a:xfrm>
                    <a:prstGeom prst="rect">
                      <a:avLst/>
                    </a:prstGeom>
                    <a:noFill/>
                    <a:ln>
                      <a:noFill/>
                    </a:ln>
                  </pic:spPr>
                </pic:pic>
              </a:graphicData>
            </a:graphic>
          </wp:inline>
        </w:drawing>
      </w:r>
    </w:p>
    <w:p w:rsidR="002B54D6" w:rsidRDefault="00FE2381" w:rsidP="00FE2381">
      <w:pPr>
        <w:jc w:val="both"/>
      </w:pPr>
      <w:r>
        <w:t xml:space="preserve">The gradient of this graph shows the variation of Rolls-Royce returns against Market returns </w:t>
      </w:r>
      <w:proofErr w:type="spellStart"/>
      <w:r>
        <w:t>i.e</w:t>
      </w:r>
      <w:proofErr w:type="spellEnd"/>
      <w:r>
        <w:t xml:space="preserve"> the Beta (β). </w:t>
      </w:r>
      <w:proofErr w:type="gramStart"/>
      <w:r>
        <w:t xml:space="preserve">Hence, the </w:t>
      </w:r>
      <w:r>
        <w:t>(β)</w:t>
      </w:r>
      <w:r>
        <w:t xml:space="preserve"> for Rolls-Royce is -1.190 (3 s.f.).</w:t>
      </w:r>
      <w:proofErr w:type="gramEnd"/>
      <w:r>
        <w:t xml:space="preserve"> </w:t>
      </w:r>
      <w:r w:rsidR="00253BB4">
        <w:t xml:space="preserve">It can be seen from the graph and the </w:t>
      </w:r>
      <w:r w:rsidR="00253BB4">
        <w:t>β</w:t>
      </w:r>
      <w:r w:rsidR="00253BB4">
        <w:t xml:space="preserve"> value, that there is negative correlation between Market returns and Rolls-Royce returns.</w:t>
      </w:r>
      <w:r w:rsidR="00463366">
        <w:t xml:space="preserve"> This means that as the market rises (falls), Rolls-Royce returns will fall (rise).</w:t>
      </w:r>
      <w:r w:rsidR="002C13E9">
        <w:t xml:space="preserve"> The company is therefore heavily underperforming in the market, and such a stock is said to be aggressive.</w:t>
      </w:r>
      <w:r w:rsidR="00463366">
        <w:t xml:space="preserve"> </w:t>
      </w:r>
      <w:r w:rsidR="00F20C22">
        <w:t xml:space="preserve">To illustrate this, we will consider the following example. Suppose the market return premium rises by 10%, the return premium on Rolls-Royce equity will fall by -11.9%. </w:t>
      </w:r>
      <w:r w:rsidR="002B54D6">
        <w:t>The reason for this result is…..</w:t>
      </w:r>
    </w:p>
    <w:p w:rsidR="00E7165B" w:rsidRDefault="00E7165B" w:rsidP="00FE2381">
      <w:pPr>
        <w:jc w:val="both"/>
      </w:pPr>
      <w:r>
        <w:t>Another feature of the regression results is R</w:t>
      </w:r>
      <w:r>
        <w:rPr>
          <w:vertAlign w:val="superscript"/>
        </w:rPr>
        <w:t>2</w:t>
      </w:r>
      <w:r>
        <w:t>, which represents system</w:t>
      </w:r>
      <w:r w:rsidR="002C13E9">
        <w:t>atic</w:t>
      </w:r>
      <w:r>
        <w:t xml:space="preserve"> risk (the risk to the entire market) and is non-diversifiable. The value obtained is 0.446 </w:t>
      </w:r>
      <w:proofErr w:type="gramStart"/>
      <w:r>
        <w:t>(3 s.f.)</w:t>
      </w:r>
      <w:proofErr w:type="gramEnd"/>
      <w:r>
        <w:t xml:space="preserve">. Hence, approximately </w:t>
      </w:r>
      <w:r w:rsidR="00FB374D">
        <w:t>44.6% of</w:t>
      </w:r>
      <w:r>
        <w:t xml:space="preserve"> the “riskiness” or the variation in returns of Rolls-Royce s</w:t>
      </w:r>
      <w:r w:rsidR="002C13E9">
        <w:t>tock is due to market variation</w:t>
      </w:r>
      <w:r>
        <w:t>, suggestin</w:t>
      </w:r>
      <w:r w:rsidR="007A492D">
        <w:t>g that Rolls-Royce stock</w:t>
      </w:r>
      <w:r>
        <w:t xml:space="preserve"> follow</w:t>
      </w:r>
      <w:r w:rsidR="007A492D">
        <w:t>s</w:t>
      </w:r>
      <w:r>
        <w:t xml:space="preserve"> </w:t>
      </w:r>
      <w:r w:rsidR="007A492D">
        <w:t>market conditions</w:t>
      </w:r>
      <w:r w:rsidR="00FB374D">
        <w:t xml:space="preserve"> reasonably closely</w:t>
      </w:r>
      <w:r>
        <w:t>.</w:t>
      </w:r>
      <w:r w:rsidR="00FB374D">
        <w:t xml:space="preserve"> </w:t>
      </w:r>
      <w:r w:rsidR="003963B7">
        <w:t xml:space="preserve">The </w:t>
      </w:r>
      <w:r w:rsidR="000752A7">
        <w:t>non-systematic</w:t>
      </w:r>
      <w:r w:rsidR="003963B7">
        <w:t xml:space="preserve"> or firm-specific risk is therefore given by 1-R</w:t>
      </w:r>
      <w:r w:rsidR="003963B7">
        <w:rPr>
          <w:vertAlign w:val="superscript"/>
        </w:rPr>
        <w:t>2</w:t>
      </w:r>
      <w:r w:rsidR="000752A7">
        <w:t>. 1-R</w:t>
      </w:r>
      <w:r w:rsidR="000752A7">
        <w:rPr>
          <w:vertAlign w:val="superscript"/>
        </w:rPr>
        <w:t>2</w:t>
      </w:r>
      <w:r w:rsidR="000752A7">
        <w:t xml:space="preserve"> = 1-0.446 </w:t>
      </w:r>
      <w:r w:rsidR="000C64F0">
        <w:t xml:space="preserve">= 0.554. Therefore, 55.4% </w:t>
      </w:r>
      <w:r w:rsidR="000752A7">
        <w:t>of the riskiness of the firm is due to firm specific factors. This element of risk is diversifiable.</w:t>
      </w:r>
    </w:p>
    <w:p w:rsidR="001B2FF9" w:rsidRDefault="001B2FF9" w:rsidP="00FE2381">
      <w:pPr>
        <w:jc w:val="both"/>
        <w:rPr>
          <w:b/>
          <w:u w:val="single"/>
        </w:rPr>
      </w:pPr>
      <w:r>
        <w:rPr>
          <w:b/>
          <w:u w:val="single"/>
        </w:rPr>
        <w:t>Security Market Line (SML)</w:t>
      </w:r>
    </w:p>
    <w:p w:rsidR="00A851E2" w:rsidRDefault="003C6A9A" w:rsidP="00FE2381">
      <w:pPr>
        <w:jc w:val="both"/>
      </w:pPr>
      <w:r>
        <w:t xml:space="preserve">The SML is </w:t>
      </w:r>
      <w:r w:rsidR="00C90053">
        <w:t>essentially</w:t>
      </w:r>
      <w:r>
        <w:t xml:space="preserve"> a graphical representation of the Cap</w:t>
      </w:r>
      <w:r w:rsidR="00A851E2">
        <w:t>ital Asset Pricing Model (CAPM). It is a straight line graph, plotting individual security returns against their betas, and has the formula:</w:t>
      </w:r>
    </w:p>
    <w:p w:rsidR="001B2FF9" w:rsidRPr="00A851E2" w:rsidRDefault="00A851E2" w:rsidP="00A851E2">
      <w:pPr>
        <w:jc w:val="cente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β</m:t>
              </m:r>
            </m:e>
            <m:sub>
              <m:r>
                <w:rPr>
                  <w:rFonts w:ascii="Cambria Math" w:hAnsi="Cambria Math"/>
                </w:rPr>
                <m:t>i</m:t>
              </m:r>
            </m:sub>
          </m:sSub>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rsidR="00A851E2" w:rsidRDefault="00A851E2" w:rsidP="00A851E2">
      <w:pPr>
        <w:rPr>
          <w:rFonts w:eastAsiaTheme="minorEastAsia"/>
        </w:rPr>
      </w:pPr>
      <w:proofErr w:type="gramStart"/>
      <w:r>
        <w:rPr>
          <w:rFonts w:eastAsiaTheme="minorEastAsia"/>
        </w:rPr>
        <w:t>where</w:t>
      </w:r>
      <w:proofErr w:type="gramEnd"/>
    </w:p>
    <w:p w:rsidR="00A851E2" w:rsidRDefault="00A851E2" w:rsidP="00A851E2">
      <w:pPr>
        <w:rPr>
          <w:rFonts w:eastAsiaTheme="minorEastAsia"/>
        </w:rPr>
      </w:pPr>
      <w:proofErr w:type="gramStart"/>
      <w:r>
        <w:rPr>
          <w:rFonts w:eastAsiaTheme="minorEastAsia"/>
        </w:rPr>
        <w:t>E(</w:t>
      </w:r>
      <w:proofErr w:type="spellStart"/>
      <w:proofErr w:type="gramEnd"/>
      <w:r>
        <w:rPr>
          <w:rFonts w:eastAsiaTheme="minorEastAsia"/>
        </w:rPr>
        <w:t>R</w:t>
      </w:r>
      <w:r>
        <w:rPr>
          <w:rFonts w:eastAsiaTheme="minorEastAsia"/>
          <w:vertAlign w:val="subscript"/>
        </w:rPr>
        <w:t>i</w:t>
      </w:r>
      <w:proofErr w:type="spellEnd"/>
      <w:r>
        <w:rPr>
          <w:rFonts w:eastAsiaTheme="minorEastAsia"/>
        </w:rPr>
        <w:t>) = Expected return on security i</w:t>
      </w:r>
    </w:p>
    <w:p w:rsidR="00A851E2" w:rsidRDefault="00A851E2" w:rsidP="00A851E2">
      <w:pPr>
        <w:rPr>
          <w:rFonts w:eastAsiaTheme="minorEastAsia"/>
        </w:rPr>
      </w:pPr>
      <w:proofErr w:type="spellStart"/>
      <w:proofErr w:type="gramStart"/>
      <w:r>
        <w:rPr>
          <w:rFonts w:eastAsiaTheme="minorEastAsia"/>
        </w:rPr>
        <w:t>R</w:t>
      </w:r>
      <w:r>
        <w:rPr>
          <w:rFonts w:eastAsiaTheme="minorEastAsia"/>
          <w:vertAlign w:val="subscript"/>
        </w:rPr>
        <w:t>f</w:t>
      </w:r>
      <w:proofErr w:type="spellEnd"/>
      <w:proofErr w:type="gramEnd"/>
      <w:r>
        <w:rPr>
          <w:rFonts w:eastAsiaTheme="minorEastAsia"/>
        </w:rPr>
        <w:t xml:space="preserve"> = Risk free return</w:t>
      </w:r>
    </w:p>
    <w:p w:rsidR="00014091" w:rsidRDefault="00014091" w:rsidP="00A851E2">
      <w:proofErr w:type="gramStart"/>
      <w:r>
        <w:t>β</w:t>
      </w:r>
      <w:r>
        <w:rPr>
          <w:vertAlign w:val="subscript"/>
        </w:rPr>
        <w:t>i</w:t>
      </w:r>
      <w:proofErr w:type="gramEnd"/>
      <w:r>
        <w:t xml:space="preserve"> = Beta of security i</w:t>
      </w:r>
    </w:p>
    <w:p w:rsidR="00A851E2" w:rsidRDefault="00014091" w:rsidP="00A851E2">
      <w:pPr>
        <w:rPr>
          <w:rFonts w:eastAsiaTheme="minorEastAsia"/>
        </w:rPr>
      </w:pPr>
      <w:proofErr w:type="gramStart"/>
      <w:r>
        <w:t>E(</w:t>
      </w:r>
      <w:proofErr w:type="spellStart"/>
      <w:proofErr w:type="gramEnd"/>
      <w:r>
        <w:t>R</w:t>
      </w:r>
      <w:r>
        <w:rPr>
          <w:vertAlign w:val="subscript"/>
        </w:rPr>
        <w:t>m</w:t>
      </w:r>
      <w:proofErr w:type="spellEnd"/>
      <w:r>
        <w:t>) = Expected return on market portfolio</w:t>
      </w:r>
    </w:p>
    <w:p w:rsidR="00C555F7" w:rsidRDefault="00C555F7" w:rsidP="00A851E2">
      <w:pPr>
        <w:rPr>
          <w:rFonts w:eastAsiaTheme="minorEastAsia"/>
        </w:rPr>
      </w:pPr>
      <w:r>
        <w:rPr>
          <w:rFonts w:eastAsiaTheme="minorEastAsia"/>
        </w:rPr>
        <w:t>The risk free rate was calculated by taking the arithmetic mean of the weekly returns of Government bonds and compounding it</w:t>
      </w:r>
      <w:r w:rsidR="00006915">
        <w:rPr>
          <w:rFonts w:eastAsiaTheme="minorEastAsia"/>
        </w:rPr>
        <w:t xml:space="preserve"> weekly</w:t>
      </w:r>
      <w:r>
        <w:rPr>
          <w:rFonts w:eastAsiaTheme="minorEastAsia"/>
        </w:rPr>
        <w:t xml:space="preserve"> for one year</w:t>
      </w:r>
      <w:r w:rsidR="00006915">
        <w:rPr>
          <w:rFonts w:eastAsiaTheme="minorEastAsia"/>
        </w:rPr>
        <w:t xml:space="preserve"> (t=52)</w:t>
      </w:r>
      <w:r>
        <w:rPr>
          <w:rFonts w:eastAsiaTheme="minorEastAsia"/>
        </w:rPr>
        <w:t>:</w:t>
      </w:r>
    </w:p>
    <w:p w:rsidR="00C555F7" w:rsidRDefault="00C555F7" w:rsidP="00C555F7">
      <w:r>
        <w:t>[(</w:t>
      </w:r>
      <w:r w:rsidRPr="00C555F7">
        <w:t>1 + (sum of weekly</w:t>
      </w:r>
      <w:r>
        <w:t xml:space="preserve"> Government bonds</w:t>
      </w:r>
      <w:r w:rsidRPr="00C555F7">
        <w:t xml:space="preserve"> returns/number of entries (515))</w:t>
      </w:r>
      <w:proofErr w:type="gramStart"/>
      <w:r w:rsidRPr="00C555F7">
        <w:t>)^</w:t>
      </w:r>
      <w:proofErr w:type="gramEnd"/>
      <w:r w:rsidRPr="00C555F7">
        <w:t>52</w:t>
      </w:r>
      <w:r>
        <w:t>]</w:t>
      </w:r>
      <w:r w:rsidRPr="00C555F7">
        <w:t xml:space="preserve"> </w:t>
      </w:r>
      <w:r>
        <w:t>–</w:t>
      </w:r>
      <w:r w:rsidRPr="00C555F7">
        <w:t xml:space="preserve"> 1</w:t>
      </w:r>
    </w:p>
    <w:p w:rsidR="00C555F7" w:rsidRDefault="00C555F7" w:rsidP="00C555F7">
      <w:r w:rsidRPr="00C555F7">
        <w:lastRenderedPageBreak/>
        <w:t>(1 + (0.4051/515))^52 - 1 = 0.0417</w:t>
      </w:r>
    </w:p>
    <w:p w:rsidR="00C555F7" w:rsidRDefault="00C555F7" w:rsidP="00C555F7">
      <w:r>
        <w:t>0.0417 x 100 = 4.17% (</w:t>
      </w:r>
      <w:proofErr w:type="spellStart"/>
      <w:proofErr w:type="gramStart"/>
      <w:r>
        <w:t>R</w:t>
      </w:r>
      <w:r>
        <w:rPr>
          <w:vertAlign w:val="subscript"/>
        </w:rPr>
        <w:t>f</w:t>
      </w:r>
      <w:proofErr w:type="spellEnd"/>
      <w:proofErr w:type="gramEnd"/>
      <w:r>
        <w:t>).</w:t>
      </w:r>
    </w:p>
    <w:p w:rsidR="00456921" w:rsidRDefault="00456921" w:rsidP="00456921">
      <w:pPr>
        <w:rPr>
          <w:rFonts w:eastAsiaTheme="minorEastAsia"/>
        </w:rPr>
      </w:pPr>
      <w:r>
        <w:t>The expected return on market portfolio (</w:t>
      </w:r>
      <w:proofErr w:type="gramStart"/>
      <w:r>
        <w:t>E(</w:t>
      </w:r>
      <w:proofErr w:type="spellStart"/>
      <w:proofErr w:type="gramEnd"/>
      <w:r>
        <w:t>R</w:t>
      </w:r>
      <w:r>
        <w:rPr>
          <w:vertAlign w:val="subscript"/>
        </w:rPr>
        <w:t>m</w:t>
      </w:r>
      <w:proofErr w:type="spellEnd"/>
      <w:r>
        <w:t xml:space="preserve">)) was calculated </w:t>
      </w:r>
      <w:r>
        <w:rPr>
          <w:rFonts w:eastAsiaTheme="minorEastAsia"/>
        </w:rPr>
        <w:t xml:space="preserve">taking the arithmetic mean of the weekly returns of </w:t>
      </w:r>
      <w:r>
        <w:rPr>
          <w:rFonts w:eastAsiaTheme="minorEastAsia"/>
        </w:rPr>
        <w:t>the FTSE 100</w:t>
      </w:r>
      <w:r>
        <w:rPr>
          <w:rFonts w:eastAsiaTheme="minorEastAsia"/>
        </w:rPr>
        <w:t xml:space="preserve"> and compounding it for one year:</w:t>
      </w:r>
    </w:p>
    <w:p w:rsidR="00456921" w:rsidRDefault="00456921" w:rsidP="00456921">
      <w:r>
        <w:t>[(</w:t>
      </w:r>
      <w:r w:rsidRPr="00C555F7">
        <w:t>1 + (sum of weekly</w:t>
      </w:r>
      <w:r>
        <w:t xml:space="preserve"> </w:t>
      </w:r>
      <w:r>
        <w:t>FTSE 100</w:t>
      </w:r>
      <w:r w:rsidRPr="00C555F7">
        <w:t xml:space="preserve"> returns/number of entries (515))</w:t>
      </w:r>
      <w:proofErr w:type="gramStart"/>
      <w:r w:rsidRPr="00C555F7">
        <w:t>)^</w:t>
      </w:r>
      <w:proofErr w:type="gramEnd"/>
      <w:r w:rsidRPr="00C555F7">
        <w:t>52</w:t>
      </w:r>
      <w:r>
        <w:t>]</w:t>
      </w:r>
      <w:r w:rsidRPr="00C555F7">
        <w:t xml:space="preserve"> </w:t>
      </w:r>
      <w:r>
        <w:t>–</w:t>
      </w:r>
      <w:r w:rsidRPr="00C555F7">
        <w:t xml:space="preserve"> 1</w:t>
      </w:r>
    </w:p>
    <w:p w:rsidR="00456921" w:rsidRPr="00456921" w:rsidRDefault="00456921" w:rsidP="00456921">
      <w:pPr>
        <w:rPr>
          <w:rFonts w:ascii="Calibri" w:eastAsia="Times New Roman" w:hAnsi="Calibri" w:cs="Times New Roman"/>
          <w:color w:val="000000"/>
          <w:lang w:eastAsia="en-GB"/>
        </w:rPr>
      </w:pPr>
      <w:r w:rsidRPr="00C555F7">
        <w:t>(1 +</w:t>
      </w:r>
      <w:r>
        <w:t xml:space="preserve"> (</w:t>
      </w:r>
      <w:r w:rsidRPr="00456921">
        <w:rPr>
          <w:rFonts w:ascii="Calibri" w:eastAsia="Times New Roman" w:hAnsi="Calibri" w:cs="Times New Roman"/>
          <w:color w:val="000000"/>
          <w:lang w:eastAsia="en-GB"/>
        </w:rPr>
        <w:t>0.897866</w:t>
      </w:r>
      <w:r>
        <w:t>/515))^52 - 1 = 0.094784</w:t>
      </w:r>
    </w:p>
    <w:p w:rsidR="00456921" w:rsidRDefault="00456921" w:rsidP="00456921">
      <w:r>
        <w:t>0.094784 x 100 = 9.48</w:t>
      </w:r>
      <w:r>
        <w:t xml:space="preserve">% </w:t>
      </w:r>
      <w:r w:rsidR="0086715D">
        <w:t>(</w:t>
      </w:r>
      <w:proofErr w:type="gramStart"/>
      <w:r w:rsidR="0086715D">
        <w:t>E</w:t>
      </w:r>
      <w:r>
        <w:t>(</w:t>
      </w:r>
      <w:proofErr w:type="spellStart"/>
      <w:proofErr w:type="gramEnd"/>
      <w:r>
        <w:t>R</w:t>
      </w:r>
      <w:r w:rsidR="0086715D">
        <w:rPr>
          <w:vertAlign w:val="subscript"/>
        </w:rPr>
        <w:t>m</w:t>
      </w:r>
      <w:proofErr w:type="spellEnd"/>
      <w:r>
        <w:t>)</w:t>
      </w:r>
      <w:r w:rsidR="0086715D">
        <w:t>)</w:t>
      </w:r>
      <w:r>
        <w:t>.</w:t>
      </w:r>
    </w:p>
    <w:p w:rsidR="005F147E" w:rsidRDefault="005F147E" w:rsidP="00456921">
      <w:r>
        <w:t>The SML is plotted using this data:</w:t>
      </w:r>
    </w:p>
    <w:p w:rsidR="005F147E" w:rsidRDefault="005F147E" w:rsidP="00456921">
      <w:r w:rsidRPr="005F147E">
        <w:drawing>
          <wp:inline distT="0" distB="0" distL="0" distR="0" wp14:anchorId="171C1AD4" wp14:editId="616F3467">
            <wp:extent cx="5731510" cy="3082524"/>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82524"/>
                    </a:xfrm>
                    <a:prstGeom prst="rect">
                      <a:avLst/>
                    </a:prstGeom>
                  </pic:spPr>
                </pic:pic>
              </a:graphicData>
            </a:graphic>
          </wp:inline>
        </w:drawing>
      </w:r>
    </w:p>
    <w:p w:rsidR="00ED62BB" w:rsidRDefault="00ED62BB" w:rsidP="00456921">
      <w:r>
        <w:t>The expected return for Rolls-Royce stock can now be calculated:</w:t>
      </w:r>
    </w:p>
    <w:p w:rsidR="00ED62BB" w:rsidRPr="00ED62BB" w:rsidRDefault="00ED62BB" w:rsidP="00ED62BB">
      <w:pPr>
        <w:jc w:val="cente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β</m:t>
              </m:r>
            </m:e>
            <m:sub>
              <m:r>
                <w:rPr>
                  <w:rFonts w:ascii="Cambria Math" w:hAnsi="Cambria Math"/>
                </w:rPr>
                <m:t>i</m:t>
              </m:r>
            </m:sub>
          </m:sSub>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rsidR="00ED62BB" w:rsidRPr="00ED62BB" w:rsidRDefault="00ED62BB" w:rsidP="00ED62BB">
      <w:pPr>
        <w:jc w:val="cente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r>
            <w:rPr>
              <w:rFonts w:ascii="Cambria Math" w:hAnsi="Cambria Math"/>
            </w:rPr>
            <m:t>4.17-1.190</m:t>
          </m:r>
          <m:r>
            <w:rPr>
              <w:rFonts w:ascii="Cambria Math" w:hAnsi="Cambria Math"/>
            </w:rPr>
            <m:t xml:space="preserve"> [</m:t>
          </m:r>
          <m:r>
            <w:rPr>
              <w:rFonts w:ascii="Cambria Math" w:hAnsi="Cambria Math"/>
            </w:rPr>
            <m:t>9.48</m:t>
          </m:r>
          <m:r>
            <w:rPr>
              <w:rFonts w:ascii="Cambria Math" w:hAnsi="Cambria Math"/>
            </w:rPr>
            <m:t>-</m:t>
          </m:r>
          <m:r>
            <w:rPr>
              <w:rFonts w:ascii="Cambria Math" w:hAnsi="Cambria Math"/>
            </w:rPr>
            <m:t>4.17</m:t>
          </m:r>
          <m:r>
            <w:rPr>
              <w:rFonts w:ascii="Cambria Math" w:hAnsi="Cambria Math"/>
            </w:rPr>
            <m:t>]</m:t>
          </m:r>
        </m:oMath>
      </m:oMathPara>
    </w:p>
    <w:p w:rsidR="00ED62BB" w:rsidRPr="00ED62BB" w:rsidRDefault="00ED62BB" w:rsidP="00ED62BB">
      <w:pPr>
        <w:jc w:val="cente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r>
            <w:rPr>
              <w:rFonts w:ascii="Cambria Math" w:hAnsi="Cambria Math"/>
            </w:rPr>
            <m:t>-17.43%</m:t>
          </m:r>
        </m:oMath>
      </m:oMathPara>
    </w:p>
    <w:p w:rsidR="00ED62BB" w:rsidRPr="00A851E2" w:rsidRDefault="00ED62BB" w:rsidP="00ED62BB">
      <w:pPr>
        <w:rPr>
          <w:rFonts w:eastAsiaTheme="minorEastAsia"/>
        </w:rPr>
      </w:pPr>
      <w:r>
        <w:rPr>
          <w:rFonts w:eastAsiaTheme="minorEastAsia"/>
        </w:rPr>
        <w:t>The yellow dot on the graph represen</w:t>
      </w:r>
      <w:r w:rsidR="00707DFA">
        <w:rPr>
          <w:rFonts w:eastAsiaTheme="minorEastAsia"/>
        </w:rPr>
        <w:t xml:space="preserve">ts Rolls-Royce expected return, and it is clearly </w:t>
      </w:r>
      <w:r w:rsidR="00947F1E">
        <w:rPr>
          <w:rFonts w:eastAsiaTheme="minorEastAsia"/>
        </w:rPr>
        <w:t>situated</w:t>
      </w:r>
      <w:r w:rsidR="00707DFA">
        <w:rPr>
          <w:rFonts w:eastAsiaTheme="minorEastAsia"/>
        </w:rPr>
        <w:t xml:space="preserve"> below the SML, rejected CAPM theory. This means the stock is underperforming, since the expected return is lower than would be predicted based on the risk associated with the stock. Therefore, the stock is overpriced.</w:t>
      </w:r>
      <w:bookmarkStart w:id="0" w:name="_GoBack"/>
      <w:bookmarkEnd w:id="0"/>
    </w:p>
    <w:p w:rsidR="00ED62BB" w:rsidRPr="00A851E2" w:rsidRDefault="00ED62BB" w:rsidP="00ED62BB">
      <w:pPr>
        <w:jc w:val="center"/>
        <w:rPr>
          <w:rFonts w:eastAsiaTheme="minorEastAsia"/>
        </w:rPr>
      </w:pPr>
    </w:p>
    <w:p w:rsidR="00ED62BB" w:rsidRPr="00A851E2" w:rsidRDefault="00ED62BB" w:rsidP="00ED62BB">
      <w:pPr>
        <w:jc w:val="center"/>
        <w:rPr>
          <w:rFonts w:eastAsiaTheme="minorEastAsia"/>
        </w:rPr>
      </w:pPr>
    </w:p>
    <w:p w:rsidR="00ED62BB" w:rsidRDefault="00ED62BB" w:rsidP="00456921"/>
    <w:p w:rsidR="00ED62BB" w:rsidRDefault="00ED62BB" w:rsidP="00456921"/>
    <w:p w:rsidR="00456921" w:rsidRPr="00C555F7" w:rsidRDefault="00456921" w:rsidP="00C555F7"/>
    <w:p w:rsidR="00C555F7" w:rsidRPr="00C555F7" w:rsidRDefault="00C555F7" w:rsidP="00C555F7"/>
    <w:p w:rsidR="00C555F7" w:rsidRPr="00A851E2" w:rsidRDefault="00C555F7" w:rsidP="00A851E2"/>
    <w:sectPr w:rsidR="00C555F7" w:rsidRPr="00A85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DC"/>
    <w:rsid w:val="00006915"/>
    <w:rsid w:val="00014091"/>
    <w:rsid w:val="000752A7"/>
    <w:rsid w:val="000C64F0"/>
    <w:rsid w:val="001B2FF9"/>
    <w:rsid w:val="001F00E0"/>
    <w:rsid w:val="002418CD"/>
    <w:rsid w:val="00253BB4"/>
    <w:rsid w:val="002B54D6"/>
    <w:rsid w:val="002C13E9"/>
    <w:rsid w:val="002F30FC"/>
    <w:rsid w:val="003963B7"/>
    <w:rsid w:val="003C6A9A"/>
    <w:rsid w:val="00456921"/>
    <w:rsid w:val="00463366"/>
    <w:rsid w:val="005F147E"/>
    <w:rsid w:val="00707DFA"/>
    <w:rsid w:val="007A492D"/>
    <w:rsid w:val="007F458E"/>
    <w:rsid w:val="0086715D"/>
    <w:rsid w:val="008E4042"/>
    <w:rsid w:val="00947F1E"/>
    <w:rsid w:val="00A73BDC"/>
    <w:rsid w:val="00A851E2"/>
    <w:rsid w:val="00B0337A"/>
    <w:rsid w:val="00C555F7"/>
    <w:rsid w:val="00C90053"/>
    <w:rsid w:val="00E7165B"/>
    <w:rsid w:val="00ED62BB"/>
    <w:rsid w:val="00F20C22"/>
    <w:rsid w:val="00FB374D"/>
    <w:rsid w:val="00FD717A"/>
    <w:rsid w:val="00FE2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BDC"/>
    <w:rPr>
      <w:rFonts w:ascii="Tahoma" w:hAnsi="Tahoma" w:cs="Tahoma"/>
      <w:sz w:val="16"/>
      <w:szCs w:val="16"/>
    </w:rPr>
  </w:style>
  <w:style w:type="character" w:styleId="PlaceholderText">
    <w:name w:val="Placeholder Text"/>
    <w:basedOn w:val="DefaultParagraphFont"/>
    <w:uiPriority w:val="99"/>
    <w:semiHidden/>
    <w:rsid w:val="00A73B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BDC"/>
    <w:rPr>
      <w:rFonts w:ascii="Tahoma" w:hAnsi="Tahoma" w:cs="Tahoma"/>
      <w:sz w:val="16"/>
      <w:szCs w:val="16"/>
    </w:rPr>
  </w:style>
  <w:style w:type="character" w:styleId="PlaceholderText">
    <w:name w:val="Placeholder Text"/>
    <w:basedOn w:val="DefaultParagraphFont"/>
    <w:uiPriority w:val="99"/>
    <w:semiHidden/>
    <w:rsid w:val="00A73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198443">
      <w:bodyDiv w:val="1"/>
      <w:marLeft w:val="0"/>
      <w:marRight w:val="0"/>
      <w:marTop w:val="0"/>
      <w:marBottom w:val="0"/>
      <w:divBdr>
        <w:top w:val="none" w:sz="0" w:space="0" w:color="auto"/>
        <w:left w:val="none" w:sz="0" w:space="0" w:color="auto"/>
        <w:bottom w:val="none" w:sz="0" w:space="0" w:color="auto"/>
        <w:right w:val="none" w:sz="0" w:space="0" w:color="auto"/>
      </w:divBdr>
    </w:div>
    <w:div w:id="642344331">
      <w:bodyDiv w:val="1"/>
      <w:marLeft w:val="0"/>
      <w:marRight w:val="0"/>
      <w:marTop w:val="0"/>
      <w:marBottom w:val="0"/>
      <w:divBdr>
        <w:top w:val="none" w:sz="0" w:space="0" w:color="auto"/>
        <w:left w:val="none" w:sz="0" w:space="0" w:color="auto"/>
        <w:bottom w:val="none" w:sz="0" w:space="0" w:color="auto"/>
        <w:right w:val="none" w:sz="0" w:space="0" w:color="auto"/>
      </w:divBdr>
      <w:divsChild>
        <w:div w:id="1266232854">
          <w:marLeft w:val="0"/>
          <w:marRight w:val="0"/>
          <w:marTop w:val="0"/>
          <w:marBottom w:val="0"/>
          <w:divBdr>
            <w:top w:val="none" w:sz="0" w:space="0" w:color="auto"/>
            <w:left w:val="none" w:sz="0" w:space="0" w:color="auto"/>
            <w:bottom w:val="none" w:sz="0" w:space="0" w:color="auto"/>
            <w:right w:val="none" w:sz="0" w:space="0" w:color="auto"/>
          </w:divBdr>
        </w:div>
      </w:divsChild>
    </w:div>
    <w:div w:id="973943470">
      <w:bodyDiv w:val="1"/>
      <w:marLeft w:val="0"/>
      <w:marRight w:val="0"/>
      <w:marTop w:val="0"/>
      <w:marBottom w:val="0"/>
      <w:divBdr>
        <w:top w:val="none" w:sz="0" w:space="0" w:color="auto"/>
        <w:left w:val="none" w:sz="0" w:space="0" w:color="auto"/>
        <w:bottom w:val="none" w:sz="0" w:space="0" w:color="auto"/>
        <w:right w:val="none" w:sz="0" w:space="0" w:color="auto"/>
      </w:divBdr>
      <w:divsChild>
        <w:div w:id="271012781">
          <w:marLeft w:val="0"/>
          <w:marRight w:val="0"/>
          <w:marTop w:val="0"/>
          <w:marBottom w:val="0"/>
          <w:divBdr>
            <w:top w:val="none" w:sz="0" w:space="0" w:color="auto"/>
            <w:left w:val="none" w:sz="0" w:space="0" w:color="auto"/>
            <w:bottom w:val="none" w:sz="0" w:space="0" w:color="auto"/>
            <w:right w:val="none" w:sz="0" w:space="0" w:color="auto"/>
          </w:divBdr>
        </w:div>
      </w:divsChild>
    </w:div>
    <w:div w:id="1222212929">
      <w:bodyDiv w:val="1"/>
      <w:marLeft w:val="0"/>
      <w:marRight w:val="0"/>
      <w:marTop w:val="0"/>
      <w:marBottom w:val="0"/>
      <w:divBdr>
        <w:top w:val="none" w:sz="0" w:space="0" w:color="auto"/>
        <w:left w:val="none" w:sz="0" w:space="0" w:color="auto"/>
        <w:bottom w:val="none" w:sz="0" w:space="0" w:color="auto"/>
        <w:right w:val="none" w:sz="0" w:space="0" w:color="auto"/>
      </w:divBdr>
      <w:divsChild>
        <w:div w:id="1560893915">
          <w:marLeft w:val="0"/>
          <w:marRight w:val="0"/>
          <w:marTop w:val="0"/>
          <w:marBottom w:val="0"/>
          <w:divBdr>
            <w:top w:val="none" w:sz="0" w:space="0" w:color="auto"/>
            <w:left w:val="none" w:sz="0" w:space="0" w:color="auto"/>
            <w:bottom w:val="none" w:sz="0" w:space="0" w:color="auto"/>
            <w:right w:val="none" w:sz="0" w:space="0" w:color="auto"/>
          </w:divBdr>
        </w:div>
      </w:divsChild>
    </w:div>
    <w:div w:id="1562592684">
      <w:bodyDiv w:val="1"/>
      <w:marLeft w:val="0"/>
      <w:marRight w:val="0"/>
      <w:marTop w:val="0"/>
      <w:marBottom w:val="0"/>
      <w:divBdr>
        <w:top w:val="none" w:sz="0" w:space="0" w:color="auto"/>
        <w:left w:val="none" w:sz="0" w:space="0" w:color="auto"/>
        <w:bottom w:val="none" w:sz="0" w:space="0" w:color="auto"/>
        <w:right w:val="none" w:sz="0" w:space="0" w:color="auto"/>
      </w:divBdr>
    </w:div>
    <w:div w:id="1587575169">
      <w:bodyDiv w:val="1"/>
      <w:marLeft w:val="0"/>
      <w:marRight w:val="0"/>
      <w:marTop w:val="0"/>
      <w:marBottom w:val="0"/>
      <w:divBdr>
        <w:top w:val="none" w:sz="0" w:space="0" w:color="auto"/>
        <w:left w:val="none" w:sz="0" w:space="0" w:color="auto"/>
        <w:bottom w:val="none" w:sz="0" w:space="0" w:color="auto"/>
        <w:right w:val="none" w:sz="0" w:space="0" w:color="auto"/>
      </w:divBdr>
      <w:divsChild>
        <w:div w:id="134247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Khaleelc</dc:creator>
  <cp:lastModifiedBy>Khaleelc</cp:lastModifiedBy>
  <cp:revision>34</cp:revision>
  <dcterms:created xsi:type="dcterms:W3CDTF">2013-03-10T19:56:00Z</dcterms:created>
  <dcterms:modified xsi:type="dcterms:W3CDTF">2013-03-10T20:51:00Z</dcterms:modified>
</cp:coreProperties>
</file>