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信用卡欺诈分析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探索性分析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1、数据集中没有空值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70960" cy="6697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对信用卡欺诈进行可视化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94760" cy="2628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从图中右边的柱形可以看出，现实中信用卡的欺诈比例是非常小的。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同时将诈骗交易和正常交易按时间分布进行频数统计，生成直方图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87718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模型构建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利用SK-learn库的LogisticRegression进行逻辑回归模型构建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21380" cy="28651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从混淆矩阵的结果中可以得出准确率、精确率、召回率、F1值分别为0.999、0.848、0.650、0.736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数据集百度网盘链接（因为数据集大于100M，所以采用网盘）：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"https://pan.baidu.com/s/1ZQKUun2fEAhJI-MM4mWnkg" </w:instrText>
      </w: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https://pan.baidu.com/s/1ZQKUun2fEAhJI-MM4mWnkg</w:t>
      </w: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lang w:val="en-US" w:eastAsia="zh-CN"/>
        </w:rPr>
        <w:t xml:space="preserve">         提取码：qu5a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E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7AB3B3"/>
    <w:multiLevelType w:val="singleLevel"/>
    <w:tmpl w:val="957AB3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10929BE"/>
    <w:multiLevelType w:val="multilevel"/>
    <w:tmpl w:val="C10929BE"/>
    <w:lvl w:ilvl="0" w:tentative="0">
      <w:start w:val="1"/>
      <w:numFmt w:val="decimal"/>
      <w:pStyle w:val="2"/>
      <w:suff w:val="nothing"/>
      <w:lvlText w:val="第%1章.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18C4D7ED"/>
    <w:multiLevelType w:val="singleLevel"/>
    <w:tmpl w:val="18C4D7E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93D87"/>
    <w:rsid w:val="31357147"/>
    <w:rsid w:val="3AE30261"/>
    <w:rsid w:val="61EB6C8D"/>
    <w:rsid w:val="7A4D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20" w:beforeLines="0" w:beforeAutospacing="0" w:after="320" w:afterLines="0" w:afterAutospacing="0" w:line="240" w:lineRule="auto"/>
      <w:ind w:left="425" w:hanging="425" w:firstLineChars="0"/>
      <w:outlineLvl w:val="0"/>
    </w:pPr>
    <w:rPr>
      <w:rFonts w:eastAsia="黑体" w:asciiTheme="minorAscii" w:hAnsiTheme="minorAscii"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2020-04-04T14:18:00Z</dcterms:created>
  <dc:creator>14916</dc:creator>
  <cp:lastModifiedBy>仁森</cp:lastModifiedBy>
  <dcterms:modified xsi:type="dcterms:W3CDTF">2020-05-25T00:34:39Z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