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Milestone Four: Database Enhancement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Artifact Description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artifacts are chat_history.py and config_handler.py from the Kasugai platform’s persistence layer. Originally, chat_history.py used SQLite for message logging, and config_handler.py managed application settings in config.ini.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Justification for Inclusion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component underpins data storage and retrieval in a real‑time communications system. To enhance it, I: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Migrated to MongoDB: replaced SQLite with a PyMongo-based ChatHistory class, enabling flexible document storage.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encryption: used Fernet to encrypt messages at rest, protecting user privacy.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indexing on the timestamp field to ensure efficient time‑ordered queries.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Expanded config_handler.py to support MongoDB connection parameters and manage encryption keys seamlessly.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changes demonstrate advanced database integration, data modeling, and security best practices.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Outcome Alignment and Updates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Outcome 2: Use innovative tools (NoSQL databases) to architect scalable storage solutions.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Outcome 5: Develop a security mindset by encrypting sensitive data and abstracting configuration for secure deployments.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updates to the initial outcome plan were necessary; this milestone completes the database dimension of the portfolio.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Reflection on the Enhancement Process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Transitioning from a simple SQLite table to a fully‑indexed, encrypted MongoDB collection required rethinking data schema consistency, connection management, and exception handling. Learning PyMongo’s indexing and bulk‑write APIs expanded my database toolkit, and abstracting access via config_handler.py ensures future portability (e.g., to PostgreSQL or Cassandra) with minimal code changes. This process reinforced my ability to design secure, performant data layers in enterprise‑grade applications.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