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Milestone Three: Algorithms &amp; Data Structure Enhancement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Artifact Description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chosen artifacts are chat_manager.py and kasugai_client.py, the core modules that handle real‑time message exchange and gRPC communication for the Kasugai platform. chat_manager.py bridges between the Flask front‑end and the gRPC backend, while kasugai_client.py implements user, room, and chat stubs for server interaction.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Justification for Inclusion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files govern Kasugai’s data flow under concurrency, making them ideal for demonstrating algorithmic improvements. In this milestone, I: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an asyncio.Queue in a new MessageProcessor class to batch incoming messages, reducing per‑message overhead.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Modified streaming logic in KasugaiClient to yield message batches (receive_text_message_batches), improving throughput under load.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Updated ChatManager to enqueue batched messages to MessageProcessor, decoupling I/O from emission and persistence.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redesign leverages asynchronous programming and queue data structures to enhance responsiveness and scalability.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 Alignment and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Outcome 3: Design solutions using algorithmic principles—here, batching reduces time complexity and network I/O contention.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Outcome 4: Manage trade‑offs between complexity and performance, choosing asynchronous queues to balance memory usage and latency.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outcome‑coverage plan remained unchanged; this enhancement deepened my practical knowledge of concurrent architectures.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Reflection on the Enhancement Process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 asynchronous message queuing required careful handling of coroutine lifecycles and synchronization between threads. I encountered race‑condition risks when mixing synchronous gRPC streams with async loops. Rigorous testing helped me master exception handling within asyncio, and I solidified strategies for validating concurrent code. This experience has made me comfortable designing and testing high‑concurrency systems.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