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Milestone Two: Software Design &amp; Engineering Enhancement</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Artifact Description</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artifacts are main.py and webserver.py from the Kasugai communication platform, originally developed in 2022. main.py orchestrates the application lifecycle, spawning background threads for the web server and event handling, while webserver.py defines the Flask-based HTTP interface for messaging, authentication, and file transfers.</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Justification for Inclusion</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chose these files because they form the backbone of Kasugai’s architecture and showcase core software engineering principles: modularization, multithreading, and configuration management. For the enhancement, I:</w:t>
      </w:r>
    </w:p>
    <w:p w:rsidR="00000000" w:rsidDel="00000000" w:rsidP="00000000" w:rsidRDefault="00000000" w:rsidRPr="00000000" w14:paraId="00000008">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Refactored authentication logic into a dedicated AuthManager module, isolating OAuth setup and improving single‑responsibility.</w:t>
      </w:r>
    </w:p>
    <w:p w:rsidR="00000000" w:rsidDel="00000000" w:rsidP="00000000" w:rsidRDefault="00000000" w:rsidRPr="00000000" w14:paraId="00000009">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Applied the Factory Pattern to dynamically initialize server components, enabling flexible runtime configuration.</w:t>
      </w:r>
    </w:p>
    <w:p w:rsidR="00000000" w:rsidDel="00000000" w:rsidP="00000000" w:rsidRDefault="00000000" w:rsidRPr="00000000" w14:paraId="0000000A">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Introduced unit tests (test_factory.py, test_auth_manager.py) to validate factory behavior and authentication flows.</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changes improved maintainability, scalability, and testability, aligning with clean‑architecture best practices.</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Outcome Alignment and Updates</w:t>
      </w:r>
      <w:r w:rsidDel="00000000" w:rsidR="00000000" w:rsidRPr="00000000">
        <w:rPr>
          <w:rtl w:val="0"/>
        </w:rPr>
      </w:r>
    </w:p>
    <w:p w:rsidR="00000000" w:rsidDel="00000000" w:rsidP="00000000" w:rsidRDefault="00000000" w:rsidRPr="00000000" w14:paraId="0000000F">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Course Outcome 4: Demonstrate well‑founded, innovative techniques by using design patterns (Factory) and modular components.</w:t>
      </w:r>
    </w:p>
    <w:p w:rsidR="00000000" w:rsidDel="00000000" w:rsidP="00000000" w:rsidRDefault="00000000" w:rsidRPr="00000000" w14:paraId="00000010">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Course Outcome 5: Develop a security mindset by decoupling and centralizing authentication, making future audits and vulnerability scans more straightforward.</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adjustments were needed to the original outcome‑coverage plan; this milestone fulfilled its intended goals and set the stage for later enhancements.</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Reflection on the Enhancement Process</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Refactoring into the Factory Pattern highlighted the importance of separation of concerns: balancing flexibility with clear object relationships was challenging at first. Writing tests required mocking environment dependencies, reinforcing my grasp of Python’s unittest framework. Integrating Google OAuth via Authlib deepened my understanding of Flask’s request lifecycle and external API coordination. Overall, I learned how architectural improvements not only enhance code readability but also accelerate team onboarding and future feature development.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