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Journal Reflection: Integrating Security Throughout the Software Lifecycle</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Adoption of a Secure Coding Standard</w:t>
      </w:r>
      <w:r w:rsidDel="00000000" w:rsidR="00000000" w:rsidRPr="00000000">
        <w:rPr>
          <w:rtl w:val="0"/>
        </w:rPr>
        <w:br w:type="textWrapping"/>
        <w:t xml:space="preserve">Throughout this course, we have repeatedly emphasized that security cannot be an afterthought. As highlighted in the OWASP Secure Coding Practices (Chapter 2), adopting a recognized secure coding standard, such as CERT C/C++ or the SANS Top 25, provides developers with concrete rules and examples for avoiding common vulnerabilities. By integrating these rules into our coding style guides from day one, we shift left on security, catching buffer overflows, injection flaws, and unsafe API usage during development rather than during QA or, worse, post‑release. Personally, when I began applying Seacord’s recommended guidelines in my Python and C++ projects, I noticed that code reviews became more focused and that fewer security defects escaped into production.</w:t>
      </w:r>
    </w:p>
    <w:p w:rsidR="00000000" w:rsidDel="00000000" w:rsidP="00000000" w:rsidRDefault="00000000" w:rsidRPr="00000000" w14:paraId="00000004">
      <w:pPr>
        <w:spacing w:line="480" w:lineRule="auto"/>
        <w:rPr/>
      </w:pPr>
      <w:r w:rsidDel="00000000" w:rsidR="00000000" w:rsidRPr="00000000">
        <w:rPr>
          <w:b w:val="1"/>
          <w:rtl w:val="0"/>
        </w:rPr>
        <w:t xml:space="preserve">Evaluation and Assessment of Risk and Cost–Benefit of Mitigation</w:t>
      </w:r>
      <w:r w:rsidDel="00000000" w:rsidR="00000000" w:rsidRPr="00000000">
        <w:rPr>
          <w:rtl w:val="0"/>
        </w:rPr>
        <w:br w:type="textWrapping"/>
        <w:t xml:space="preserve">A critical element of secure development is evaluating which risks warrant mitigation, and to what extent. NIST SP 800‑30 taught us to assess both likelihood and impact, scoring threats on a 1–5 scale. I found it invaluable to pair this with cost–benefit analysis: for example, encrypting all data at rest may have high impact but also high implementation cost, especially on legacy systems. By mapping severity (e.g., SQL injection rated “5”) against remediation effort (e.g., parameterized queries rated “1”), I could prioritize low‑effort, high‑impact fixes first. This structured approach ensured my teams addressed the highest‑risk issues early, rather than chasing every possible vulnerability equally.</w:t>
      </w:r>
    </w:p>
    <w:p w:rsidR="00000000" w:rsidDel="00000000" w:rsidP="00000000" w:rsidRDefault="00000000" w:rsidRPr="00000000" w14:paraId="00000005">
      <w:pPr>
        <w:spacing w:line="480" w:lineRule="auto"/>
        <w:rPr/>
      </w:pPr>
      <w:r w:rsidDel="00000000" w:rsidR="00000000" w:rsidRPr="00000000">
        <w:rPr>
          <w:b w:val="1"/>
          <w:rtl w:val="0"/>
        </w:rPr>
        <w:t xml:space="preserve">Zero Trust</w:t>
      </w:r>
      <w:r w:rsidDel="00000000" w:rsidR="00000000" w:rsidRPr="00000000">
        <w:rPr>
          <w:rtl w:val="0"/>
        </w:rPr>
        <w:br w:type="textWrapping"/>
        <w:t xml:space="preserve">The “never trust, always verify” principle of Zero Trust fundamentally changes how we architect systems. Whereas traditional perimeter defenses assume that inside the network is safe, Zero Trust demands continuous authentication and authorization of every request, even from “trusted” services. Drawing on the Forrester Zero Trust model reading, I reflected on how implementing mutual TLS between microservices and enforcing least‑privilege network policies reduces lateral movement risk. In one project, adopting a Zero Trust proxy layer for internal APIs meant we could revoke service certificates centrally, preventing rogue or compromised services from accessing sensitive data.</w:t>
      </w:r>
    </w:p>
    <w:p w:rsidR="00000000" w:rsidDel="00000000" w:rsidP="00000000" w:rsidRDefault="00000000" w:rsidRPr="00000000" w14:paraId="00000006">
      <w:pPr>
        <w:spacing w:line="480" w:lineRule="auto"/>
        <w:rPr/>
      </w:pPr>
      <w:r w:rsidDel="00000000" w:rsidR="00000000" w:rsidRPr="00000000">
        <w:rPr>
          <w:b w:val="1"/>
          <w:rtl w:val="0"/>
        </w:rPr>
        <w:t xml:space="preserve">Implementation and Recommendations of Security Policies</w:t>
      </w:r>
      <w:r w:rsidDel="00000000" w:rsidR="00000000" w:rsidRPr="00000000">
        <w:rPr>
          <w:rtl w:val="0"/>
        </w:rPr>
        <w:br w:type="textWrapping"/>
        <w:t xml:space="preserve">Designing a secure coding policy is only half the battle; enforcing it requires clear processes and tooling. From our course case studies, I learned that embedding static analysis (e.g., SonarQube with security rulesets) into the CI pipeline ensures every pull request is scanned automatically. Equally important is developer training: mandatory quarterly workshops on CWE Top 25 vulnerabilities keep the team aware of the latest threats. I recommend formalizing a policy document that defines coding standards, code review checklists, and automated testing requirements, then hosting it in the code repository so it evolves alongside the codebase. Furthermore, establishing a security champion in each development squad creates local expertise and accountability.</w:t>
      </w:r>
    </w:p>
    <w:p w:rsidR="00000000" w:rsidDel="00000000" w:rsidP="00000000" w:rsidRDefault="00000000" w:rsidRPr="00000000" w14:paraId="00000007">
      <w:pPr>
        <w:spacing w:line="480" w:lineRule="auto"/>
        <w:rPr/>
      </w:pPr>
      <w:r w:rsidDel="00000000" w:rsidR="00000000" w:rsidRPr="00000000">
        <w:rPr>
          <w:b w:val="1"/>
          <w:rtl w:val="0"/>
        </w:rPr>
        <w:t xml:space="preserve">Critical Reflection</w:t>
      </w:r>
      <w:r w:rsidDel="00000000" w:rsidR="00000000" w:rsidRPr="00000000">
        <w:rPr>
          <w:rtl w:val="0"/>
        </w:rPr>
        <w:br w:type="textWrapping"/>
        <w:t xml:space="preserve">Integrating security from the outset transforms it from a gate‑blocking afterthought into an enabler of trust and quality. By adopting formal standards, rigorously assessing risk versus cost, embracing Zero Trust architectures, and codifying policies into both human processes and automation, we create resilient systems. Reflecting on my own practice, I recognize that the most secure code is written when security is woven into every sprint, every review, and every deployment, ensuring we deliver not just functionality, but confidence in our software’s safety.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Times New Roman" w:hAnsi="Times New Roman"/>
      <w:sz w:val="24"/>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8cv4xLOpxSqjrJyfphowUbfobQ==">CgMxLjA4AHIhMUVqbldfMUlHUnBZSTBHTXE2MjN4aGxmMFZhTWlaUk8z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