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CLASIFICACIÓN DE NO CONFORMIDADES</w:t>
      </w:r>
    </w:p>
    <w:p>
      <w:pPr>
        <w:spacing w:after="200"/>
      </w:pPr>
      <w:r>
        <w:t>Con el propósito de detallar cada categoría, se exponen a continuación las definiciones conceptuales de las deficiencias o no conformidades identificadas en el proceso de verificación eléctrica, las cuales han sido clasificadas de acuerdo con su orden de prioridad.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46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680"/>
            <w:shd w:fill="FFC7CE"/>
          </w:tcPr>
          <w:p>
            <w:r>
              <w:rPr>
                <w:b/>
              </w:rPr>
              <w:t>Alta</w:t>
            </w:r>
          </w:p>
        </w:tc>
        <w:tc>
          <w:tcPr>
            <w:tcW w:type="dxa" w:w="4680"/>
          </w:tcPr>
          <w:p>
            <w:r>
              <w:t>Condición que presenta una amenaza directa e inmediata a la vida (choque eléctrico, quemaduras por arco) o a la propiedad (riesgo inminente de incendio). Requiere acción correctiva prioritaria o desenergización</w:t>
            </w:r>
          </w:p>
        </w:tc>
      </w:tr>
      <w:tr>
        <w:tc>
          <w:tcPr>
            <w:tcW w:type="dxa" w:w="4680"/>
            <w:shd w:fill="FFEB9C"/>
          </w:tcPr>
          <w:p>
            <w:r>
              <w:rPr>
                <w:b/>
              </w:rPr>
              <w:t>Moderada</w:t>
            </w:r>
          </w:p>
        </w:tc>
        <w:tc>
          <w:tcPr>
            <w:tcW w:type="dxa" w:w="4680"/>
          </w:tcPr>
          <w:p>
            <w:r>
              <w:t>No conformidad técnica con la NFPA 70 que afecta el estándar de la instalación, la mantenibilidad, el ciclo de vida o la eficiencia, pero que no presenta un peligro inminente para la seguridad de las personas o bienes.</w:t>
            </w:r>
          </w:p>
        </w:tc>
      </w:tr>
      <w:tr>
        <w:tc>
          <w:tcPr>
            <w:tcW w:type="dxa" w:w="4680"/>
            <w:shd w:fill="C6EFCE"/>
          </w:tcPr>
          <w:p>
            <w:r>
              <w:rPr>
                <w:b/>
              </w:rPr>
              <w:t>Leve</w:t>
            </w:r>
          </w:p>
        </w:tc>
        <w:tc>
          <w:tcPr>
            <w:tcW w:type="dxa" w:w="4680"/>
          </w:tcPr>
          <w:p>
            <w:r>
              <w:t>Incumplimientos documentales, de acceso o de trazabilidad que comprometen o impiden el proceso de inspección, o la verificación legal/técnica de la instalación.</w:t>
            </w:r>
          </w:p>
        </w:tc>
      </w:tr>
    </w:tbl>
    <w:p>
      <w:pPr>
        <w:spacing w:before="200" w:after="320"/>
      </w:pPr>
      <w:r>
        <w:rPr>
          <w:b/>
        </w:rPr>
        <w:t xml:space="preserve">Nota: </w:t>
      </w:r>
      <w:r>
        <w:t>Las deficiencias Altas deben tener la prioridad más alta en el plan de acciones correctivas con una recomendación explícita de plazo de intervención (p. ej., inmediato o corto plazo), mientras que las Moderadas y Leves se pueden programar a mediano plazo, dentro de los planes de mantenimiento preventivo o gestión documental del inmueble.</w:t>
      </w:r>
    </w:p>
    <w:p>
      <w:r>
        <w:rPr>
          <w:rFonts w:ascii="Calibri" w:hAnsi="Calibri"/>
          <w:b/>
          <w:sz w:val="28"/>
        </w:rPr>
        <w:t>ASPECTOS A EVALUAR</w:t>
      </w:r>
    </w:p>
    <w:p>
      <w:pPr>
        <w:spacing w:after="200"/>
      </w:pPr>
      <w:r>
        <w:t>A continuación, se detalla la lista de verificación que contiene los componentes de la instalación eléctrica sujetos a examen. Marque las casillas de verificación para incluir los bloques correspondientes en el documento: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Documentación"/>
          <w:tag w:val="CHK_1"/>
          <w:id w:val="10001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1. Documentación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Transformador principal"/>
          <w:tag w:val="CHK_2"/>
          <w:id w:val="10002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2. Transformador principal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Sistema de puesta a tierra"/>
          <w:tag w:val="CHK_3"/>
          <w:id w:val="10003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3. Sistema de puesta a tierra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Sistema contra descargas atmosféricas"/>
          <w:tag w:val="CHK_4"/>
          <w:id w:val="10004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4. Sistema contra descargas atmosféricas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Espacios físicos cuartos eléctricos"/>
          <w:tag w:val="CHK_5"/>
          <w:id w:val="10005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5. Espacios físicos cuartos eléctricos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Transformadores de baja tensión"/>
          <w:tag w:val="CHK_6"/>
          <w:id w:val="10006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6. Transformadores de baja tensión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Tableros y protecciones"/>
          <w:tag w:val="CHK_7"/>
          <w:id w:val="10007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7. Tableros y protecciones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Conductores"/>
          <w:tag w:val="CHK_8"/>
          <w:id w:val="10008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8. Conductores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Canalizaciones, bandejas, cajas de registro y conexiones"/>
          <w:tag w:val="CHK_9"/>
          <w:id w:val="10009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9. Canalizaciones, bandejas, cajas de registro y conexiones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Iluminación"/>
          <w:tag w:val="CHK_10"/>
          <w:id w:val="10010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10. Iluminación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Tomacorrientes y apagadores"/>
          <w:tag w:val="CHK_11"/>
          <w:id w:val="10011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11. Tomacorrientes y apagadores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Equipos de aire acondicionado, ventilación y refrigeración"/>
          <w:tag w:val="CHK_12"/>
          <w:id w:val="10012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12. Equipos de aire acondicionado, ventilación y refrigeración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Motores"/>
          <w:tag w:val="CHK_13"/>
          <w:id w:val="10013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13. Motores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UPS"/>
          <w:tag w:val="CHK_14"/>
          <w:id w:val="10014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14. UPS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Sistemas de emergencia"/>
          <w:tag w:val="CHK_15"/>
          <w:id w:val="10015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15. Sistemas de emergencia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16.1. Lugares Clase I"/>
          <w:tag w:val="CHK_16"/>
          <w:id w:val="10016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16. 16.1. Lugares Clase I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16.2. Lugares Clase II"/>
          <w:tag w:val="CHK_17"/>
          <w:id w:val="10017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17. 16.2. Lugares Clase II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16.3. Lugares Clase III"/>
          <w:tag w:val="CHK_18"/>
          <w:id w:val="10018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18. 16.3. Lugares Clase III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Sitios de Reunión"/>
          <w:tag w:val="CHK_19"/>
          <w:id w:val="10019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19. Sitios de Reunión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Teatros y lugares similares"/>
          <w:tag w:val="CHK_20"/>
          <w:id w:val="10020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20. Teatros y lugares similares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Carnavales, circos, ferias y lugares similares"/>
          <w:tag w:val="CHK_21"/>
          <w:id w:val="10021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21. Carnavales, circos, ferias y lugares similares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Piscinas"/>
          <w:tag w:val="CHK_22"/>
          <w:id w:val="10022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22. Piscinas</w:t>
      </w:r>
    </w:p>
    <w:p>
      <w:pPr>
        <w:spacing w:before="40" w:after="40"/>
      </w:pPr>
      <w:sdt>
        <w:sdtPr>
          <w:rPr>
            <w:rFonts w:ascii="MS Gothic" w:eastAsia="MS Gothic" w:hAnsi="MS Gothic" w:hint="default"/>
          </w:rPr>
          <w:alias w:val="Instalaciones de asistencia médica"/>
          <w:tag w:val="CHK_23"/>
          <w:id w:val="10023"/>
          <w14:checkbox>
            <w14:checked w14:val="0"/>
            <w14:checkedState w14:val="2612" w14:font="MS Gothic"/>
            <w14:uncheckedState w14:val="25A2" w14:font="MS Gothic"/>
          </w14:checkbox>
        </w:sdtPr>
        <w:sdtContent>
          <w:r>
            <w:rPr>
              <w:rFonts w:ascii="MS Gothic" w:eastAsia="MS Gothic" w:hAnsi="MS Gothic" w:hint="default"/>
            </w:rPr>
            <w:t>☐</w:t>
          </w:r>
        </w:sdtContent>
      </w:sdt>
      <w:r>
        <w:rPr>
          <w:rFonts w:ascii="Calibri" w:hAnsi="Calibri"/>
          <w:sz w:val="22"/>
        </w:rPr>
        <w:t xml:space="preserve">  23. Instalaciones de asistencia médica</w:t>
      </w:r>
    </w:p>
    <w:p>
      <w:pPr>
        <w:spacing w:after="400"/>
      </w:pPr>
    </w:p>
    <w:p>
      <w:pPr>
        <w:spacing w:before="200" w:after="200"/>
      </w:pPr>
      <w:bookmarkStart w:id="1" w:name="MARCADOR_INSERCION"/>
      <w:bookmarkEnd w:id="1"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