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944F" w14:textId="77777777" w:rsidR="00855BCB" w:rsidRPr="00C837B1" w:rsidRDefault="00855BCB" w:rsidP="00855BCB">
      <w:pPr>
        <w:jc w:val="center"/>
        <w:rPr>
          <w:rFonts w:ascii="Arial" w:eastAsia="SimSun" w:hAnsi="Arial" w:cs="Arial"/>
          <w:b/>
          <w:bCs/>
          <w:color w:val="0432FF"/>
          <w:sz w:val="24"/>
          <w:shd w:val="clear" w:color="auto" w:fill="FFFFFF"/>
          <w:lang w:eastAsia="zh-CN"/>
        </w:rPr>
      </w:pPr>
      <w:bookmarkStart w:id="0" w:name="OLE_LINK3"/>
      <w:bookmarkStart w:id="1" w:name="OLE_LINK4"/>
      <w:bookmarkStart w:id="2" w:name="OLE_LINK9"/>
      <w:bookmarkStart w:id="3" w:name="OLE_LINK10"/>
    </w:p>
    <w:p w14:paraId="607491D5" w14:textId="77777777" w:rsidR="00855BCB" w:rsidRPr="00C837B1" w:rsidRDefault="00855BCB" w:rsidP="00855BCB">
      <w:pPr>
        <w:rPr>
          <w:rFonts w:ascii="Arial" w:eastAsia="SimSun" w:hAnsi="Arial" w:cs="Arial"/>
          <w:b/>
          <w:bCs/>
          <w:color w:val="222222"/>
          <w:sz w:val="36"/>
          <w:szCs w:val="36"/>
          <w:shd w:val="clear" w:color="auto" w:fill="FFFFFF"/>
          <w:lang w:eastAsia="zh-CN"/>
        </w:rPr>
      </w:pPr>
      <w:r>
        <w:rPr>
          <w:noProof/>
        </w:rPr>
        <w:drawing>
          <wp:anchor distT="0" distB="0" distL="114300" distR="114300" simplePos="0" relativeHeight="251659264" behindDoc="0" locked="0" layoutInCell="1" allowOverlap="1" wp14:anchorId="1E9C453A" wp14:editId="6C188D25">
            <wp:simplePos x="0" y="0"/>
            <wp:positionH relativeFrom="column">
              <wp:posOffset>18415</wp:posOffset>
            </wp:positionH>
            <wp:positionV relativeFrom="paragraph">
              <wp:posOffset>92710</wp:posOffset>
            </wp:positionV>
            <wp:extent cx="1293495" cy="1270000"/>
            <wp:effectExtent l="0" t="0" r="1905" b="0"/>
            <wp:wrapSquare wrapText="bothSides"/>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a:picLocks/>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293495"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SimSun" w:hAnsi="Arial" w:cs="Arial"/>
          <w:b/>
          <w:bCs/>
          <w:color w:val="222222"/>
          <w:sz w:val="36"/>
          <w:szCs w:val="36"/>
          <w:shd w:val="clear" w:color="auto" w:fill="FFFFFF"/>
          <w:lang w:eastAsia="zh-CN"/>
        </w:rPr>
        <w:t>Tong Wang</w:t>
      </w:r>
      <w:r w:rsidRPr="00C837B1">
        <w:rPr>
          <w:rFonts w:ascii="Arial" w:eastAsia="SimSun" w:hAnsi="Arial" w:cs="Arial"/>
          <w:b/>
          <w:bCs/>
          <w:color w:val="222222"/>
          <w:sz w:val="36"/>
          <w:szCs w:val="36"/>
          <w:shd w:val="clear" w:color="auto" w:fill="FFFFFF"/>
          <w:lang w:eastAsia="zh-CN"/>
        </w:rPr>
        <w:t>, PhD</w:t>
      </w:r>
    </w:p>
    <w:p w14:paraId="730B913C" w14:textId="77777777" w:rsidR="00855BCB" w:rsidRPr="00C837B1" w:rsidRDefault="00855BCB" w:rsidP="00855BCB">
      <w:pPr>
        <w:rPr>
          <w:rFonts w:ascii="Arial" w:eastAsia="SimSun" w:hAnsi="Arial" w:cs="Arial"/>
          <w:sz w:val="24"/>
          <w:szCs w:val="24"/>
          <w:lang w:eastAsia="zh-CN"/>
        </w:rPr>
      </w:pPr>
    </w:p>
    <w:p w14:paraId="1DCFAA7A" w14:textId="77777777" w:rsidR="00855BCB" w:rsidRDefault="00855BCB" w:rsidP="00855BCB">
      <w:pPr>
        <w:rPr>
          <w:rFonts w:ascii="Arial" w:hAnsi="Arial" w:cs="Arial"/>
        </w:rPr>
      </w:pPr>
      <w:r w:rsidRPr="00AB6C20">
        <w:rPr>
          <w:rFonts w:ascii="Arial" w:hAnsi="Arial" w:cs="Arial"/>
        </w:rPr>
        <w:t>Postdoc</w:t>
      </w:r>
      <w:r>
        <w:rPr>
          <w:rFonts w:ascii="Arial" w:hAnsi="Arial" w:cs="Arial"/>
        </w:rPr>
        <w:t>toral Research Fellow</w:t>
      </w:r>
      <w:r w:rsidRPr="00AB6C20">
        <w:rPr>
          <w:rFonts w:ascii="Arial" w:hAnsi="Arial" w:cs="Arial"/>
        </w:rPr>
        <w:t xml:space="preserve"> of </w:t>
      </w:r>
      <w:r>
        <w:rPr>
          <w:rFonts w:ascii="Arial" w:hAnsi="Arial" w:cs="Arial"/>
        </w:rPr>
        <w:t>Yang-Yu Liu’s</w:t>
      </w:r>
      <w:r w:rsidRPr="00AB6C20">
        <w:rPr>
          <w:rFonts w:ascii="Arial" w:hAnsi="Arial" w:cs="Arial"/>
        </w:rPr>
        <w:t xml:space="preserve"> lab</w:t>
      </w:r>
      <w:r>
        <w:rPr>
          <w:rFonts w:ascii="Arial" w:hAnsi="Arial" w:cs="Arial"/>
        </w:rPr>
        <w:t>,</w:t>
      </w:r>
    </w:p>
    <w:p w14:paraId="42CBD194" w14:textId="77777777" w:rsidR="00855BCB" w:rsidRDefault="00855BCB" w:rsidP="00855BCB">
      <w:pPr>
        <w:rPr>
          <w:rFonts w:ascii="Arial" w:hAnsi="Arial" w:cs="Arial"/>
        </w:rPr>
      </w:pPr>
      <w:r>
        <w:rPr>
          <w:rFonts w:ascii="Arial" w:hAnsi="Arial" w:cs="Arial"/>
        </w:rPr>
        <w:t>Channing Division of Network Medicine,</w:t>
      </w:r>
    </w:p>
    <w:p w14:paraId="2033EAA4" w14:textId="77777777" w:rsidR="00855BCB" w:rsidRDefault="00855BCB" w:rsidP="00855BCB">
      <w:pPr>
        <w:rPr>
          <w:rFonts w:ascii="Arial" w:hAnsi="Arial" w:cs="Arial"/>
        </w:rPr>
      </w:pPr>
      <w:r w:rsidRPr="00085581">
        <w:rPr>
          <w:rFonts w:ascii="Arial" w:hAnsi="Arial" w:cs="Arial"/>
        </w:rPr>
        <w:t>Department of Medicine,</w:t>
      </w:r>
      <w:r w:rsidRPr="00B03596">
        <w:rPr>
          <w:rFonts w:ascii="Arial" w:hAnsi="Arial" w:cs="Arial"/>
        </w:rPr>
        <w:t xml:space="preserve"> </w:t>
      </w:r>
      <w:proofErr w:type="gramStart"/>
      <w:r w:rsidRPr="00B03596">
        <w:rPr>
          <w:rFonts w:ascii="Arial" w:hAnsi="Arial" w:cs="Arial"/>
        </w:rPr>
        <w:t>Brigham</w:t>
      </w:r>
      <w:proofErr w:type="gramEnd"/>
      <w:r w:rsidRPr="00B03596">
        <w:rPr>
          <w:rFonts w:ascii="Arial" w:hAnsi="Arial" w:cs="Arial"/>
        </w:rPr>
        <w:t xml:space="preserve"> and Women’s Hospital, </w:t>
      </w:r>
    </w:p>
    <w:p w14:paraId="02BD612F" w14:textId="77777777" w:rsidR="00855BCB" w:rsidRPr="00C837B1" w:rsidRDefault="00855BCB" w:rsidP="00855BCB">
      <w:pPr>
        <w:rPr>
          <w:rFonts w:ascii="Arial" w:hAnsi="Arial" w:cs="Arial"/>
        </w:rPr>
      </w:pPr>
      <w:r w:rsidRPr="00B03596">
        <w:rPr>
          <w:rFonts w:ascii="Arial" w:hAnsi="Arial" w:cs="Arial"/>
        </w:rPr>
        <w:t>Harvard Medical School, Boston, MA</w:t>
      </w:r>
      <w:r>
        <w:rPr>
          <w:rFonts w:ascii="Arial" w:hAnsi="Arial" w:cs="Arial"/>
        </w:rPr>
        <w:t xml:space="preserve"> 02115, USA</w:t>
      </w:r>
    </w:p>
    <w:p w14:paraId="3646061E" w14:textId="77777777" w:rsidR="00855BCB" w:rsidRDefault="00855BCB" w:rsidP="00855BCB">
      <w:pPr>
        <w:shd w:val="clear" w:color="auto" w:fill="FFFFFF"/>
        <w:spacing w:before="60" w:after="180" w:line="420" w:lineRule="atLeast"/>
        <w:outlineLvl w:val="0"/>
        <w:rPr>
          <w:rFonts w:ascii="Arial" w:eastAsia="Times New Roman" w:hAnsi="Arial" w:cs="Arial"/>
          <w:b/>
          <w:bCs/>
          <w:color w:val="000000"/>
          <w:kern w:val="36"/>
          <w:sz w:val="28"/>
          <w:szCs w:val="28"/>
        </w:rPr>
      </w:pPr>
    </w:p>
    <w:p w14:paraId="37656FAA" w14:textId="243827F5" w:rsidR="00855BCB" w:rsidRPr="009579F4" w:rsidRDefault="00430FC7" w:rsidP="00855BCB">
      <w:pPr>
        <w:shd w:val="clear" w:color="auto" w:fill="FFFFFF"/>
        <w:rPr>
          <w:rFonts w:ascii="Arial" w:eastAsia="Times New Roman" w:hAnsi="Arial" w:cs="Arial"/>
          <w:b/>
          <w:bCs/>
          <w:color w:val="222222"/>
          <w:sz w:val="28"/>
          <w:szCs w:val="28"/>
        </w:rPr>
      </w:pPr>
      <w:r>
        <w:rPr>
          <w:rFonts w:ascii="Arial" w:eastAsia="Times New Roman" w:hAnsi="Arial" w:cs="Arial"/>
          <w:b/>
          <w:bCs/>
          <w:color w:val="222222"/>
          <w:sz w:val="28"/>
          <w:szCs w:val="28"/>
        </w:rPr>
        <w:t xml:space="preserve">Talk </w:t>
      </w:r>
      <w:r w:rsidR="005A165A">
        <w:rPr>
          <w:rFonts w:ascii="Arial" w:eastAsia="Times New Roman" w:hAnsi="Arial" w:cs="Arial"/>
          <w:b/>
          <w:bCs/>
          <w:color w:val="222222"/>
          <w:sz w:val="28"/>
          <w:szCs w:val="28"/>
        </w:rPr>
        <w:t xml:space="preserve">Title: </w:t>
      </w:r>
      <w:r w:rsidR="007B7824" w:rsidRPr="007B7824">
        <w:rPr>
          <w:rFonts w:ascii="Arial" w:eastAsia="Times New Roman" w:hAnsi="Arial" w:cs="Arial"/>
          <w:b/>
          <w:bCs/>
          <w:color w:val="222222"/>
          <w:sz w:val="28"/>
          <w:szCs w:val="28"/>
        </w:rPr>
        <w:t xml:space="preserve">Machine learning for precision </w:t>
      </w:r>
      <w:proofErr w:type="gramStart"/>
      <w:r w:rsidR="007B7824" w:rsidRPr="007B7824">
        <w:rPr>
          <w:rFonts w:ascii="Arial" w:eastAsia="Times New Roman" w:hAnsi="Arial" w:cs="Arial"/>
          <w:b/>
          <w:bCs/>
          <w:color w:val="222222"/>
          <w:sz w:val="28"/>
          <w:szCs w:val="28"/>
        </w:rPr>
        <w:t>nutrition</w:t>
      </w:r>
      <w:proofErr w:type="gramEnd"/>
    </w:p>
    <w:p w14:paraId="4979912B" w14:textId="77777777" w:rsidR="00855BCB" w:rsidRPr="009579F4" w:rsidRDefault="00855BCB" w:rsidP="00855BCB">
      <w:pPr>
        <w:shd w:val="clear" w:color="auto" w:fill="FFFFFF"/>
        <w:rPr>
          <w:rFonts w:ascii="Arial" w:eastAsia="Times New Roman" w:hAnsi="Arial" w:cs="Arial"/>
          <w:color w:val="222222"/>
          <w:sz w:val="24"/>
          <w:szCs w:val="24"/>
          <w:lang w:eastAsia="zh-CN"/>
        </w:rPr>
      </w:pPr>
    </w:p>
    <w:p w14:paraId="15F08073" w14:textId="6B37A980" w:rsidR="0084324B" w:rsidRPr="009579F4" w:rsidRDefault="000F538A" w:rsidP="00DF4401">
      <w:pPr>
        <w:shd w:val="clear" w:color="auto" w:fill="FFFFFF"/>
        <w:jc w:val="both"/>
        <w:rPr>
          <w:rFonts w:ascii="Arial" w:eastAsia="Times New Roman" w:hAnsi="Arial" w:cs="Arial"/>
          <w:color w:val="222222"/>
          <w:lang w:eastAsia="zh-CN"/>
        </w:rPr>
      </w:pPr>
      <w:r>
        <w:rPr>
          <w:rFonts w:ascii="Arial" w:eastAsia="Times New Roman" w:hAnsi="Arial" w:cs="Arial"/>
          <w:color w:val="222222"/>
          <w:u w:val="single"/>
          <w:lang w:eastAsia="zh-CN"/>
        </w:rPr>
        <w:t xml:space="preserve">Talk </w:t>
      </w:r>
      <w:r w:rsidR="00855BCB" w:rsidRPr="009579F4">
        <w:rPr>
          <w:rFonts w:ascii="Arial" w:eastAsia="Times New Roman" w:hAnsi="Arial" w:cs="Arial"/>
          <w:color w:val="222222"/>
          <w:u w:val="single"/>
          <w:lang w:eastAsia="zh-CN"/>
        </w:rPr>
        <w:t>Abstract</w:t>
      </w:r>
      <w:r w:rsidR="00855BCB" w:rsidRPr="009579F4">
        <w:rPr>
          <w:rFonts w:ascii="Arial" w:eastAsia="Times New Roman" w:hAnsi="Arial" w:cs="Arial"/>
          <w:color w:val="222222"/>
          <w:lang w:eastAsia="zh-CN"/>
        </w:rPr>
        <w:t xml:space="preserve">: </w:t>
      </w:r>
      <w:r w:rsidR="004B2F58" w:rsidRPr="004B2F58">
        <w:rPr>
          <w:rFonts w:ascii="Arial" w:eastAsia="Times New Roman" w:hAnsi="Arial" w:cs="Arial"/>
          <w:color w:val="222222"/>
          <w:lang w:eastAsia="zh-CN"/>
        </w:rPr>
        <w:t xml:space="preserve">Due to highly personalized biological and lifestyle characteristics, different individuals may have different metabolic responses to specific foods and nutrients. In particular, the gut microbiota, a collection of trillions of microorganisms living in our gastrointestinal tract, is highly personalized and plays a key role in our metabolic responses to foods and nutrients. Characterizing the metabolic profile of a microbial community and accurately predicting metabolic responses to dietary interventions based on individuals’ gut microbial compositions are crucial for understanding its impact on the host and hold great promise for precision nutrition. I </w:t>
      </w:r>
      <w:r w:rsidR="00DF755F">
        <w:rPr>
          <w:rFonts w:ascii="Arial" w:eastAsia="Times New Roman" w:hAnsi="Arial" w:cs="Arial"/>
          <w:color w:val="222222"/>
          <w:lang w:eastAsia="zh-CN"/>
        </w:rPr>
        <w:t xml:space="preserve">will </w:t>
      </w:r>
      <w:r w:rsidR="004B2F58" w:rsidRPr="004B2F58">
        <w:rPr>
          <w:rFonts w:ascii="Arial" w:eastAsia="Times New Roman" w:hAnsi="Arial" w:cs="Arial"/>
          <w:color w:val="222222"/>
          <w:lang w:eastAsia="zh-CN"/>
        </w:rPr>
        <w:t xml:space="preserve">present two computational methods: (1) </w:t>
      </w:r>
      <w:proofErr w:type="spellStart"/>
      <w:r w:rsidR="004B2F58" w:rsidRPr="004B2F58">
        <w:rPr>
          <w:rFonts w:ascii="Arial" w:eastAsia="Times New Roman" w:hAnsi="Arial" w:cs="Arial"/>
          <w:color w:val="222222"/>
          <w:lang w:eastAsia="zh-CN"/>
        </w:rPr>
        <w:t>mNODE</w:t>
      </w:r>
      <w:proofErr w:type="spellEnd"/>
      <w:r w:rsidR="004B2F58" w:rsidRPr="004B2F58">
        <w:rPr>
          <w:rFonts w:ascii="Arial" w:eastAsia="Times New Roman" w:hAnsi="Arial" w:cs="Arial"/>
          <w:color w:val="222222"/>
          <w:lang w:eastAsia="zh-CN"/>
        </w:rPr>
        <w:t xml:space="preserve"> (metabolomic profile predictor using neural ordinary differential equations) to predict the metabolomic profile based on the microbial composition of the community and (2) </w:t>
      </w:r>
      <w:proofErr w:type="spellStart"/>
      <w:r w:rsidR="004B2F58" w:rsidRPr="004B2F58">
        <w:rPr>
          <w:rFonts w:ascii="Arial" w:eastAsia="Times New Roman" w:hAnsi="Arial" w:cs="Arial"/>
          <w:color w:val="222222"/>
          <w:lang w:eastAsia="zh-CN"/>
        </w:rPr>
        <w:t>McMLP</w:t>
      </w:r>
      <w:proofErr w:type="spellEnd"/>
      <w:r w:rsidR="004B2F58" w:rsidRPr="004B2F58">
        <w:rPr>
          <w:rFonts w:ascii="Arial" w:eastAsia="Times New Roman" w:hAnsi="Arial" w:cs="Arial"/>
          <w:color w:val="222222"/>
          <w:lang w:eastAsia="zh-CN"/>
        </w:rPr>
        <w:t xml:space="preserve"> (Metabolic response predictor using coupled Multilayer </w:t>
      </w:r>
      <w:proofErr w:type="spellStart"/>
      <w:r w:rsidR="004B2F58" w:rsidRPr="004B2F58">
        <w:rPr>
          <w:rFonts w:ascii="Arial" w:eastAsia="Times New Roman" w:hAnsi="Arial" w:cs="Arial"/>
          <w:color w:val="222222"/>
          <w:lang w:eastAsia="zh-CN"/>
        </w:rPr>
        <w:t>Perceptrons</w:t>
      </w:r>
      <w:proofErr w:type="spellEnd"/>
      <w:r w:rsidR="004B2F58" w:rsidRPr="004B2F58">
        <w:rPr>
          <w:rFonts w:ascii="Arial" w:eastAsia="Times New Roman" w:hAnsi="Arial" w:cs="Arial"/>
          <w:color w:val="222222"/>
          <w:lang w:eastAsia="zh-CN"/>
        </w:rPr>
        <w:t xml:space="preserve">) to predict the metabolic response to food intervention. Both methods clearly outperform existing methods on synthetic data and various real data. Additionally, by employing sensitivity analysis, </w:t>
      </w:r>
      <w:proofErr w:type="spellStart"/>
      <w:r w:rsidR="004B2F58" w:rsidRPr="004B2F58">
        <w:rPr>
          <w:rFonts w:ascii="Arial" w:eastAsia="Times New Roman" w:hAnsi="Arial" w:cs="Arial"/>
          <w:color w:val="222222"/>
          <w:lang w:eastAsia="zh-CN"/>
        </w:rPr>
        <w:t>mNODE</w:t>
      </w:r>
      <w:proofErr w:type="spellEnd"/>
      <w:r w:rsidR="004B2F58" w:rsidRPr="004B2F58">
        <w:rPr>
          <w:rFonts w:ascii="Arial" w:eastAsia="Times New Roman" w:hAnsi="Arial" w:cs="Arial"/>
          <w:color w:val="222222"/>
          <w:lang w:eastAsia="zh-CN"/>
        </w:rPr>
        <w:t xml:space="preserve"> infers microbe-metabolite interactions, while </w:t>
      </w:r>
      <w:proofErr w:type="spellStart"/>
      <w:r w:rsidR="004B2F58" w:rsidRPr="004B2F58">
        <w:rPr>
          <w:rFonts w:ascii="Arial" w:eastAsia="Times New Roman" w:hAnsi="Arial" w:cs="Arial"/>
          <w:color w:val="222222"/>
          <w:lang w:eastAsia="zh-CN"/>
        </w:rPr>
        <w:t>McMLP</w:t>
      </w:r>
      <w:proofErr w:type="spellEnd"/>
      <w:r w:rsidR="004B2F58" w:rsidRPr="004B2F58">
        <w:rPr>
          <w:rFonts w:ascii="Arial" w:eastAsia="Times New Roman" w:hAnsi="Arial" w:cs="Arial"/>
          <w:color w:val="222222"/>
          <w:lang w:eastAsia="zh-CN"/>
        </w:rPr>
        <w:t xml:space="preserve"> facilitates the inference of tripartite food-microbe-metabolite interactions. The presented tools have immense potential to guide the design of microbiota-based personalized dietary strategies to achieve precision nutrition.</w:t>
      </w:r>
    </w:p>
    <w:p w14:paraId="6CD40345" w14:textId="77777777" w:rsidR="00855BCB" w:rsidRPr="009579F4" w:rsidRDefault="00855BCB" w:rsidP="00DF4401">
      <w:pPr>
        <w:shd w:val="clear" w:color="auto" w:fill="FFFFFF"/>
        <w:jc w:val="both"/>
        <w:rPr>
          <w:rFonts w:ascii="Arial" w:eastAsia="Times New Roman" w:hAnsi="Arial" w:cs="Arial"/>
          <w:color w:val="222222"/>
          <w:lang w:eastAsia="zh-CN"/>
        </w:rPr>
      </w:pPr>
    </w:p>
    <w:p w14:paraId="1C8E6A9A" w14:textId="6A54C95E" w:rsidR="00855BCB" w:rsidRPr="004617C5" w:rsidRDefault="00F31B1A" w:rsidP="00DF4401">
      <w:pPr>
        <w:jc w:val="both"/>
        <w:rPr>
          <w:rFonts w:ascii="Arial" w:hAnsi="Arial" w:cs="Arial"/>
        </w:rPr>
      </w:pPr>
      <w:r>
        <w:rPr>
          <w:rFonts w:ascii="Arial" w:eastAsia="Times New Roman" w:hAnsi="Arial" w:cs="Arial"/>
          <w:color w:val="222222"/>
          <w:u w:val="single"/>
          <w:lang w:eastAsia="zh-CN"/>
        </w:rPr>
        <w:t>Brief</w:t>
      </w:r>
      <w:r w:rsidR="00855BCB" w:rsidRPr="009579F4">
        <w:rPr>
          <w:rFonts w:ascii="Arial" w:eastAsia="Times New Roman" w:hAnsi="Arial" w:cs="Arial"/>
          <w:color w:val="222222"/>
          <w:u w:val="single"/>
          <w:lang w:eastAsia="zh-CN"/>
        </w:rPr>
        <w:t xml:space="preserve"> bio</w:t>
      </w:r>
      <w:r w:rsidR="00855BCB" w:rsidRPr="009579F4">
        <w:rPr>
          <w:rFonts w:ascii="Arial" w:eastAsia="Times New Roman" w:hAnsi="Arial" w:cs="Arial"/>
          <w:color w:val="222222"/>
          <w:lang w:eastAsia="zh-CN"/>
        </w:rPr>
        <w:t xml:space="preserve">: </w:t>
      </w:r>
      <w:r w:rsidR="00855BCB" w:rsidRPr="00263AB9">
        <w:rPr>
          <w:rFonts w:ascii="Arial" w:eastAsia="Times New Roman" w:hAnsi="Arial" w:cs="Arial"/>
          <w:color w:val="222222"/>
          <w:lang w:eastAsia="zh-CN"/>
        </w:rPr>
        <w:t xml:space="preserve">Dr. Tong Wang is a postdoctoral research fellow from Yang-Yu Liu’s lab at Brigham and Women’s Hospital and Harvard Medical School. He received his Ph.D. in Physics from the University of Illinois at Urbana-Champaign in 2021, with his thesis focusing on modeling microbial communities with cross-feeding and predator-prey interactions. The primary goal of his current research </w:t>
      </w:r>
      <w:r w:rsidR="001163C1">
        <w:rPr>
          <w:rFonts w:ascii="Arial" w:eastAsia="Times New Roman" w:hAnsi="Arial" w:cs="Arial"/>
          <w:color w:val="222222"/>
          <w:lang w:eastAsia="zh-CN"/>
        </w:rPr>
        <w:t>is to combine</w:t>
      </w:r>
      <w:r w:rsidR="00855BCB" w:rsidRPr="00263AB9">
        <w:rPr>
          <w:rFonts w:ascii="Arial" w:eastAsia="Times New Roman" w:hAnsi="Arial" w:cs="Arial"/>
          <w:color w:val="222222"/>
          <w:lang w:eastAsia="zh-CN"/>
        </w:rPr>
        <w:t xml:space="preserve"> ecological models and omics data to reveal the assembly rules of microbial communities, especially the human gut microbiomes. Besides mathematical modeling, he has also worked on predicting metabolomic profiles from microbial compositions and dietary information using ecology-based models and </w:t>
      </w:r>
      <w:r w:rsidR="001163C1">
        <w:rPr>
          <w:rFonts w:ascii="Arial" w:eastAsia="Times New Roman" w:hAnsi="Arial" w:cs="Arial"/>
          <w:color w:val="222222"/>
          <w:lang w:eastAsia="zh-CN"/>
        </w:rPr>
        <w:t>machine-learning</w:t>
      </w:r>
      <w:r w:rsidR="00855BCB" w:rsidRPr="00263AB9">
        <w:rPr>
          <w:rFonts w:ascii="Arial" w:eastAsia="Times New Roman" w:hAnsi="Arial" w:cs="Arial"/>
          <w:color w:val="222222"/>
          <w:lang w:eastAsia="zh-CN"/>
        </w:rPr>
        <w:t xml:space="preserve"> models.</w:t>
      </w:r>
      <w:bookmarkEnd w:id="0"/>
      <w:bookmarkEnd w:id="1"/>
      <w:bookmarkEnd w:id="2"/>
      <w:bookmarkEnd w:id="3"/>
    </w:p>
    <w:p w14:paraId="524D39C4" w14:textId="77777777" w:rsidR="00B403EB" w:rsidRDefault="00B403EB"/>
    <w:sectPr w:rsidR="00B403EB" w:rsidSect="0007786F">
      <w:pgSz w:w="12240" w:h="15840" w:code="1"/>
      <w:pgMar w:top="1440" w:right="1440" w:bottom="1440" w:left="1440" w:header="432"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CB"/>
    <w:rsid w:val="0007306E"/>
    <w:rsid w:val="000F538A"/>
    <w:rsid w:val="001163C1"/>
    <w:rsid w:val="00430FC7"/>
    <w:rsid w:val="004B2F58"/>
    <w:rsid w:val="005A165A"/>
    <w:rsid w:val="00673E88"/>
    <w:rsid w:val="007B7824"/>
    <w:rsid w:val="0084324B"/>
    <w:rsid w:val="00855BCB"/>
    <w:rsid w:val="00855E0B"/>
    <w:rsid w:val="00951717"/>
    <w:rsid w:val="00B403EB"/>
    <w:rsid w:val="00BB6FAF"/>
    <w:rsid w:val="00D356DC"/>
    <w:rsid w:val="00DF4401"/>
    <w:rsid w:val="00DF755F"/>
    <w:rsid w:val="00F3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B7C1"/>
  <w15:chartTrackingRefBased/>
  <w15:docId w15:val="{7C8E52CD-55AF-8848-8220-E39D6DED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CB"/>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Wang</dc:creator>
  <cp:keywords/>
  <dc:description/>
  <cp:lastModifiedBy>Nathan</cp:lastModifiedBy>
  <cp:revision>2</cp:revision>
  <dcterms:created xsi:type="dcterms:W3CDTF">2024-01-09T14:00:00Z</dcterms:created>
  <dcterms:modified xsi:type="dcterms:W3CDTF">2024-01-09T14:00:00Z</dcterms:modified>
</cp:coreProperties>
</file>