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A0A9" w14:textId="0A650DDD" w:rsidR="00736620" w:rsidRPr="00976622" w:rsidRDefault="00736620" w:rsidP="00736620">
      <w:pPr>
        <w:pStyle w:val="Heading1"/>
        <w:jc w:val="center"/>
        <w:rPr>
          <w:u w:val="single"/>
        </w:rPr>
      </w:pPr>
      <w:r w:rsidRPr="00976622">
        <w:rPr>
          <w:u w:val="single"/>
        </w:rPr>
        <w:t>ENTERPRISE EQUITY x PATIENT EXPERIENCE (PHASE III)</w:t>
      </w:r>
    </w:p>
    <w:p w14:paraId="61D1898F" w14:textId="77777777" w:rsidR="00736620" w:rsidRPr="001B0126" w:rsidRDefault="00736620" w:rsidP="00736620"/>
    <w:p w14:paraId="42354361" w14:textId="3EDE51F9" w:rsidR="00667952" w:rsidRPr="001B0126" w:rsidRDefault="00667952" w:rsidP="00667952">
      <w:r w:rsidRPr="001B0126">
        <w:rPr>
          <w:b/>
          <w:bCs/>
          <w:smallCaps/>
          <w:u w:val="single"/>
        </w:rPr>
        <w:t>Objective</w:t>
      </w:r>
      <w:r w:rsidRPr="001B0126">
        <w:rPr>
          <w:b/>
          <w:bCs/>
          <w:smallCaps/>
        </w:rPr>
        <w:t>:</w:t>
      </w:r>
      <w:r w:rsidRPr="001B0126">
        <w:t xml:space="preserve"> To identify disparities in self-reported levels of patient satisfaction</w:t>
      </w:r>
      <w:r w:rsidR="00E93FC5" w:rsidRPr="001B0126">
        <w:t xml:space="preserve"> at the </w:t>
      </w:r>
      <w:r w:rsidR="00E93FC5" w:rsidRPr="001B0126">
        <w:rPr>
          <w:b/>
          <w:bCs/>
        </w:rPr>
        <w:t>clinic level</w:t>
      </w:r>
      <w:r w:rsidR="00E93FC5" w:rsidRPr="001B0126">
        <w:t>.</w:t>
      </w:r>
    </w:p>
    <w:p w14:paraId="1066C3F9" w14:textId="77777777" w:rsidR="00667952" w:rsidRPr="001B0126" w:rsidRDefault="00667952" w:rsidP="00667952">
      <w:r w:rsidRPr="001B0126">
        <w:rPr>
          <w:b/>
          <w:bCs/>
          <w:smallCaps/>
          <w:u w:val="single"/>
        </w:rPr>
        <w:t>Design, Setting, and Participants:</w:t>
      </w:r>
      <w:r w:rsidRPr="001B0126">
        <w:t xml:space="preserve"> Patient information was gathered using demographic information abstracted from the electronic health record and linked with patient experience survey data provided by Press Ganey.  The Press Ganey survey uses a Likert-type scale of 5 responses: very poor, poor, fair, good, and very good.  The percentage of responses answered “very good” is called the Top Box score.</w:t>
      </w:r>
    </w:p>
    <w:p w14:paraId="5178D1DE" w14:textId="421D9C98" w:rsidR="00667952" w:rsidRPr="001B0126" w:rsidRDefault="00667952" w:rsidP="00667952">
      <w:r w:rsidRPr="001B0126">
        <w:rPr>
          <w:b/>
          <w:bCs/>
          <w:smallCaps/>
          <w:u w:val="single"/>
        </w:rPr>
        <w:t>Main Outcomes and Measures:</w:t>
      </w:r>
      <w:r w:rsidRPr="001B0126">
        <w:rPr>
          <w:b/>
          <w:bCs/>
        </w:rPr>
        <w:t xml:space="preserve"> </w:t>
      </w:r>
      <w:r w:rsidRPr="001B0126">
        <w:t xml:space="preserve"> The primary outcome of interest was </w:t>
      </w:r>
      <w:r w:rsidR="00B03A1C" w:rsidRPr="001B0126">
        <w:t xml:space="preserve">the </w:t>
      </w:r>
      <w:r w:rsidRPr="001B0126">
        <w:t xml:space="preserve">Top Box score for each survey question. </w:t>
      </w:r>
      <w:r w:rsidR="00B03A1C" w:rsidRPr="001B0126">
        <w:t>Rather than separating by question, a combined roll-up score was calculated.</w:t>
      </w:r>
      <w:r w:rsidRPr="001B0126">
        <w:t xml:space="preserve"> Data collected was dependent and hierarchical and repeated responses for the same patient were recorded, so a mixed effects model was used. Odds ratios were calculated to compare the relative association of patient demographic factors with the Top Box score. </w:t>
      </w:r>
    </w:p>
    <w:p w14:paraId="4A090097" w14:textId="2FEF32BD" w:rsidR="00B03A1C" w:rsidRPr="001B0126" w:rsidRDefault="00B03A1C" w:rsidP="00667952">
      <w:r w:rsidRPr="001B0126">
        <w:t xml:space="preserve">The factors </w:t>
      </w:r>
      <w:r w:rsidR="00B153AD" w:rsidRPr="001B0126">
        <w:t>are:</w:t>
      </w:r>
    </w:p>
    <w:p w14:paraId="1755D11E" w14:textId="30420616" w:rsidR="003B5E3F" w:rsidRPr="001B0126" w:rsidRDefault="003B5E3F" w:rsidP="00B03A1C">
      <w:pPr>
        <w:ind w:left="720"/>
      </w:pPr>
      <w:r w:rsidRPr="001B0126">
        <w:t>Race</w:t>
      </w:r>
      <w:r w:rsidR="00B03A1C" w:rsidRPr="001B0126">
        <w:t>/</w:t>
      </w:r>
      <w:r w:rsidRPr="001B0126">
        <w:t>Ethnicity</w:t>
      </w:r>
      <w:r w:rsidR="00B03A1C" w:rsidRPr="001B0126">
        <w:t xml:space="preserve">: </w:t>
      </w:r>
      <w:r w:rsidRPr="001B0126">
        <w:t xml:space="preserve">3 levels </w:t>
      </w:r>
      <w:r w:rsidR="00B03A1C" w:rsidRPr="001B0126">
        <w:t>(</w:t>
      </w:r>
      <w:r w:rsidRPr="001B0126">
        <w:t>White, Hispanic, Asian/Black/Mixed Race or Other (AB</w:t>
      </w:r>
      <w:r w:rsidR="00CD486D">
        <w:t>M</w:t>
      </w:r>
      <w:r w:rsidRPr="001B0126">
        <w:t>O)</w:t>
      </w:r>
      <w:r w:rsidR="00B03A1C" w:rsidRPr="001B0126">
        <w:t>)</w:t>
      </w:r>
    </w:p>
    <w:p w14:paraId="52442358" w14:textId="44EFFDB1" w:rsidR="003B5E3F" w:rsidRPr="001B0126" w:rsidRDefault="003B5E3F" w:rsidP="00B03A1C">
      <w:pPr>
        <w:ind w:left="720"/>
      </w:pPr>
      <w:r w:rsidRPr="001B0126">
        <w:t>Age</w:t>
      </w:r>
      <w:r w:rsidR="00B03A1C" w:rsidRPr="001B0126">
        <w:t xml:space="preserve">: </w:t>
      </w:r>
      <w:r w:rsidRPr="001B0126">
        <w:t xml:space="preserve">2 levels  </w:t>
      </w:r>
      <w:r w:rsidR="00B03A1C" w:rsidRPr="001B0126">
        <w:t>(</w:t>
      </w:r>
      <w:r w:rsidRPr="001B0126">
        <w:t>&gt;65, &lt;65</w:t>
      </w:r>
      <w:r w:rsidR="00B03A1C" w:rsidRPr="001B0126">
        <w:t>)</w:t>
      </w:r>
    </w:p>
    <w:p w14:paraId="6F1A1A18" w14:textId="1924B339" w:rsidR="003B5E3F" w:rsidRPr="001B0126" w:rsidRDefault="00B03A1C" w:rsidP="00B153AD">
      <w:pPr>
        <w:ind w:left="720"/>
      </w:pPr>
      <w:r w:rsidRPr="001B0126">
        <w:t>Gender</w:t>
      </w:r>
      <w:r w:rsidR="003B5E3F" w:rsidRPr="001B0126">
        <w:t xml:space="preserve">: </w:t>
      </w:r>
      <w:r w:rsidRPr="001B0126">
        <w:t>2 levels (</w:t>
      </w:r>
      <w:r w:rsidR="003B5E3F" w:rsidRPr="001B0126">
        <w:t>female, male</w:t>
      </w:r>
      <w:r w:rsidRPr="001B0126">
        <w:t>)</w:t>
      </w:r>
    </w:p>
    <w:p w14:paraId="5F6F693E" w14:textId="77777777" w:rsidR="00667952" w:rsidRPr="001B0126" w:rsidRDefault="00667952" w:rsidP="00667952">
      <w:pPr>
        <w:pStyle w:val="Default"/>
        <w:rPr>
          <w:rFonts w:ascii="Calibri" w:hAnsi="Calibri" w:cs="Calibri"/>
          <w:sz w:val="22"/>
          <w:szCs w:val="22"/>
        </w:rPr>
      </w:pPr>
    </w:p>
    <w:p w14:paraId="50256888" w14:textId="379209AE" w:rsidR="00667952" w:rsidRPr="001B0126" w:rsidRDefault="00667952" w:rsidP="0066795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  <w:u w:val="single"/>
        </w:rPr>
        <w:t>Phase II</w:t>
      </w:r>
      <w:r w:rsidR="00E93FC5"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  <w:u w:val="single"/>
        </w:rPr>
        <w:t>I</w:t>
      </w:r>
      <w:r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  <w:u w:val="single"/>
        </w:rPr>
        <w:t xml:space="preserve"> Results (completed </w:t>
      </w:r>
      <w:r w:rsidR="00E93FC5"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  <w:u w:val="single"/>
        </w:rPr>
        <w:t>APR</w:t>
      </w:r>
      <w:r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  <w:u w:val="single"/>
        </w:rPr>
        <w:t xml:space="preserve"> 23):</w:t>
      </w:r>
      <w:r w:rsidRPr="001B0126">
        <w:rPr>
          <w:rFonts w:asciiTheme="minorHAnsi" w:hAnsiTheme="minorHAnsi" w:cstheme="minorBidi"/>
          <w:b/>
          <w:bCs/>
          <w:smallCaps/>
          <w:color w:val="auto"/>
          <w:sz w:val="22"/>
          <w:szCs w:val="22"/>
        </w:rPr>
        <w:t xml:space="preserve"> </w:t>
      </w:r>
      <w:r w:rsidRPr="001B0126">
        <w:rPr>
          <w:rFonts w:asciiTheme="minorHAnsi" w:hAnsiTheme="minorHAnsi" w:cstheme="minorHAnsi"/>
          <w:sz w:val="22"/>
          <w:szCs w:val="22"/>
        </w:rPr>
        <w:t xml:space="preserve">Self-reported patient satisfaction survey data received between October 1, 2022, and September 30, 2023, was analyzed. The service line was limited to Outpatient Oncology.  </w:t>
      </w:r>
      <w:r w:rsidR="00B03A1C" w:rsidRPr="001B0126">
        <w:rPr>
          <w:rFonts w:asciiTheme="minorHAnsi" w:hAnsiTheme="minorHAnsi" w:cstheme="minorHAnsi"/>
          <w:sz w:val="22"/>
          <w:szCs w:val="22"/>
        </w:rPr>
        <w:t xml:space="preserve">A total of 37 clinics were examined.  While the majority </w:t>
      </w:r>
      <w:r w:rsidR="00B153AD" w:rsidRPr="001B0126">
        <w:rPr>
          <w:rFonts w:asciiTheme="minorHAnsi" w:hAnsiTheme="minorHAnsi" w:cstheme="minorHAnsi"/>
          <w:sz w:val="22"/>
          <w:szCs w:val="22"/>
        </w:rPr>
        <w:t xml:space="preserve">(24 out of 37) </w:t>
      </w:r>
      <w:r w:rsidR="00B03A1C" w:rsidRPr="001B0126">
        <w:rPr>
          <w:rFonts w:asciiTheme="minorHAnsi" w:hAnsiTheme="minorHAnsi" w:cstheme="minorHAnsi"/>
          <w:sz w:val="22"/>
          <w:szCs w:val="22"/>
        </w:rPr>
        <w:t>of the clinics had lower top box scores for ABO patients when compared to their White counterparts, these results were only significant in 4 of th</w:t>
      </w:r>
      <w:r w:rsidR="00B153AD" w:rsidRPr="001B0126">
        <w:rPr>
          <w:rFonts w:asciiTheme="minorHAnsi" w:hAnsiTheme="minorHAnsi" w:cstheme="minorHAnsi"/>
          <w:sz w:val="22"/>
          <w:szCs w:val="22"/>
        </w:rPr>
        <w:t xml:space="preserve">ose </w:t>
      </w:r>
      <w:r w:rsidR="00B03A1C" w:rsidRPr="001B0126">
        <w:rPr>
          <w:rFonts w:asciiTheme="minorHAnsi" w:hAnsiTheme="minorHAnsi" w:cstheme="minorHAnsi"/>
          <w:sz w:val="22"/>
          <w:szCs w:val="22"/>
        </w:rPr>
        <w:t>24 clinics.</w:t>
      </w:r>
      <w:r w:rsidR="00B153AD" w:rsidRPr="001B0126">
        <w:rPr>
          <w:rFonts w:asciiTheme="minorHAnsi" w:hAnsiTheme="minorHAnsi" w:cstheme="minorHAnsi"/>
          <w:sz w:val="22"/>
          <w:szCs w:val="22"/>
        </w:rPr>
        <w:t xml:space="preserve"> There are clinics where the scores of White patients were lower than those of the Hispanic and ABO groups, but these differences were not statistically significant.  </w:t>
      </w:r>
    </w:p>
    <w:p w14:paraId="462810A8" w14:textId="77777777" w:rsidR="00667952" w:rsidRPr="001B0126" w:rsidRDefault="00667952" w:rsidP="0066795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94424B" w14:textId="77777777" w:rsidR="00B5731C" w:rsidRDefault="00455B36">
      <w:r w:rsidRPr="00B256E5">
        <w:br w:type="page"/>
      </w:r>
      <w:r w:rsidR="00B5731C">
        <w:lastRenderedPageBreak/>
        <w:br w:type="page"/>
      </w:r>
    </w:p>
    <w:p w14:paraId="2A2A5906" w14:textId="42949174" w:rsidR="00B256E5" w:rsidRPr="00B5731C" w:rsidRDefault="00736620" w:rsidP="00B5731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6622">
        <w:lastRenderedPageBreak/>
        <w:t xml:space="preserve">Clinic </w:t>
      </w:r>
      <w:r w:rsidR="00DC7675" w:rsidRPr="00976622">
        <w:t xml:space="preserve">Survey Response </w:t>
      </w:r>
      <w:r w:rsidRPr="00976622">
        <w:t>Demographics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3586"/>
        <w:gridCol w:w="1360"/>
        <w:gridCol w:w="1177"/>
        <w:gridCol w:w="1269"/>
        <w:gridCol w:w="688"/>
      </w:tblGrid>
      <w:tr w:rsidR="008901F7" w:rsidRPr="00976622" w14:paraId="5763341A" w14:textId="77777777" w:rsidTr="00B5731C">
        <w:trPr>
          <w:trHeight w:val="315"/>
        </w:trPr>
        <w:tc>
          <w:tcPr>
            <w:tcW w:w="3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79649DF" w14:textId="77777777" w:rsidR="00B256E5" w:rsidRPr="00976622" w:rsidRDefault="00B256E5" w:rsidP="008901F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bookmarkStart w:id="0" w:name="_Hlk163567874"/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44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noWrap/>
            <w:vAlign w:val="bottom"/>
            <w:hideMark/>
          </w:tcPr>
          <w:p w14:paraId="4B9CBF49" w14:textId="77777777" w:rsidR="00B256E5" w:rsidRPr="00976622" w:rsidRDefault="00B256E5" w:rsidP="008901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Racial Ethnic Breakdown n (%)</w:t>
            </w:r>
          </w:p>
        </w:tc>
      </w:tr>
      <w:tr w:rsidR="008901F7" w:rsidRPr="00976622" w14:paraId="6F74C421" w14:textId="77777777" w:rsidTr="00B5731C">
        <w:trPr>
          <w:trHeight w:val="315"/>
        </w:trPr>
        <w:tc>
          <w:tcPr>
            <w:tcW w:w="3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vAlign w:val="bottom"/>
            <w:hideMark/>
          </w:tcPr>
          <w:p w14:paraId="13D2A875" w14:textId="77777777" w:rsidR="00B256E5" w:rsidRPr="00976622" w:rsidRDefault="00B256E5" w:rsidP="008901F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3955045" w14:textId="77777777" w:rsidR="00B256E5" w:rsidRPr="00976622" w:rsidRDefault="00B256E5" w:rsidP="008901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White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23530A5" w14:textId="6FF047FD" w:rsidR="00B256E5" w:rsidRPr="00976622" w:rsidRDefault="00B256E5" w:rsidP="008901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AB</w:t>
            </w:r>
            <w:r w:rsidR="00CD486D"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M</w:t>
            </w: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D981205" w14:textId="77777777" w:rsidR="00B256E5" w:rsidRPr="00976622" w:rsidRDefault="00B256E5" w:rsidP="008901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F808C2" w14:textId="77777777" w:rsidR="00B256E5" w:rsidRPr="00976622" w:rsidRDefault="00B256E5" w:rsidP="008901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76622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</w:tr>
      <w:bookmarkEnd w:id="0"/>
      <w:tr w:rsidR="00B256E5" w:rsidRPr="00B256E5" w14:paraId="0BDE71BD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51508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ICE-T 3C Treatment Center (3 CT)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B53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54 (76.06%)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9BD3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 (12.68%)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C37C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 (11.27%)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4968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</w:tr>
      <w:tr w:rsidR="00B5731C" w:rsidRPr="00B256E5" w14:paraId="10360CAD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FBE0CD7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Ambulatory Internal Medicine Clinic (AIM)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8FF823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125 (77.16%)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34ABB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21 (12.96%)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8AB61F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 (9.88%)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1DB2C0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162</w:t>
            </w:r>
          </w:p>
        </w:tc>
      </w:tr>
      <w:tr w:rsidR="00B256E5" w:rsidRPr="00B256E5" w14:paraId="6F86EAB5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F86E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Apheresis Unit (APHR)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7548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37 (78.72%)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6EB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 (8.51%)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BB6A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 (12.77%)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F445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</w:tr>
      <w:tr w:rsidR="00B5731C" w:rsidRPr="00B256E5" w14:paraId="08BC7718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5E71452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Behavioral Medicine Clinic (BEHM)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035D4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253 (83.77%)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51EAF0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24 (7.95%)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52CB26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 (8.28%)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C3CDD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302</w:t>
            </w:r>
          </w:p>
        </w:tc>
      </w:tr>
      <w:tr w:rsidR="00B256E5" w:rsidRPr="00B256E5" w14:paraId="566050F2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179DC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and Marrow Transplant Clinic (BMTC)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CB1D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503 (81.26%)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FFC9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52 (8.4%)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A2B7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64 (10.34%)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0CD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619</w:t>
            </w:r>
          </w:p>
        </w:tc>
      </w:tr>
      <w:tr w:rsidR="00B5731C" w:rsidRPr="00B256E5" w14:paraId="5AEDE91A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0E40A3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Comprehensive Breast Clinic (BRMK)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D2763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2528 (80.87%)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60D32D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260 (8.32%)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64DB7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338 (10.81%)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44514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3126</w:t>
            </w:r>
          </w:p>
        </w:tc>
      </w:tr>
      <w:tr w:rsidR="00B256E5" w:rsidRPr="00B256E5" w14:paraId="34637EF0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47703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Transfusion Unit (BTU)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6B5D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145 (83.33%)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B97D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12 (6.9%)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D8BB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17 (9.77%)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DFB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174</w:t>
            </w:r>
          </w:p>
        </w:tc>
      </w:tr>
      <w:tr w:rsidR="00B5731C" w:rsidRPr="00B256E5" w14:paraId="1ADB7011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8099DC5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Cardio-Oncology Clinic (COMK)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F66D9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94 (77.05%)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FD6868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11 (9.02%)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F3D8F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17 (13.93%)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D8239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</w:tr>
      <w:tr w:rsidR="00B256E5" w:rsidRPr="00B256E5" w14:paraId="1EFE7353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705D4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Clinical Research Unit (CRMK)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7850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79 (89.77%)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71C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 (4.55%)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1DDA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 (5.68%)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0000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</w:tr>
      <w:tr w:rsidR="00B5731C" w:rsidRPr="00B256E5" w14:paraId="22300A6D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9AFC03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Clinical Research Unit (CRU)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C2D62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201 (87.77%)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9E98E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 (6.11%)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65D47C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 (6.11%)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397D0B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229</w:t>
            </w:r>
          </w:p>
        </w:tc>
      </w:tr>
      <w:tr w:rsidR="00B256E5" w:rsidRPr="00B256E5" w14:paraId="06D7545E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CC5C0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Cutaneous Clinic (CUMK)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B1B8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2932 (94.4%)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6D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39 (1.26%)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BF32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135 (4.35%)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C1D9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3106</w:t>
            </w:r>
          </w:p>
        </w:tc>
      </w:tr>
      <w:tr w:rsidR="00B5731C" w:rsidRPr="00B256E5" w14:paraId="13BC7B13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DCC43F6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Clinic (CWIP)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57F57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1764 (79.82%)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71439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189 (8.55%)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93B559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257 (11.63%)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44E87C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2210</w:t>
            </w:r>
          </w:p>
        </w:tc>
      </w:tr>
      <w:tr w:rsidR="00B256E5" w:rsidRPr="00B256E5" w14:paraId="1B945E79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A32D6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Endocrine Clinic (ECRI)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D18A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768 (82.23%)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7A18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57 (6.1%)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B756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109 (11.67%)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2E7D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934</w:t>
            </w:r>
          </w:p>
        </w:tc>
      </w:tr>
      <w:tr w:rsidR="00B5731C" w:rsidRPr="00B256E5" w14:paraId="502ED533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5F9131D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Genetics Clinic (GCMK)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5EFA2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287 (81.07%)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9AE9F7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26 (7.34%)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28DCD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41 (11.58%)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9AD15E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354</w:t>
            </w:r>
          </w:p>
        </w:tc>
      </w:tr>
      <w:tr w:rsidR="00B256E5" w:rsidRPr="00B256E5" w14:paraId="045D418C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F6E5" w14:textId="698EFB31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GeneHome</w:t>
            </w:r>
            <w:proofErr w:type="spellEnd"/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(GHMK)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D823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51 (85%)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355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 (6.67%)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682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 (8.33%)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9862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</w:tr>
      <w:tr w:rsidR="00B5731C" w:rsidRPr="00B256E5" w14:paraId="49DF595B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8A83922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Gastrointestinal Oncology Clinic (GI)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A4735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2056 (84.4%)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E9ADF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164 (6.73%)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C3C30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216 (8.87%)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31CFB3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2436</w:t>
            </w:r>
          </w:p>
        </w:tc>
      </w:tr>
      <w:tr w:rsidR="00B256E5" w:rsidRPr="00B256E5" w14:paraId="382AC8AF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3DE1D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Genitourinary Clinic (GU)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C12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2921 (89.03%)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A94A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161 (4.91%)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51625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199 (6.07%)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F569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3281</w:t>
            </w:r>
          </w:p>
        </w:tc>
      </w:tr>
      <w:tr w:rsidR="00B5731C" w:rsidRPr="00B256E5" w14:paraId="1AAD624F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C61C0E2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Hematology Clinic (HEMM)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3179B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3021 (85.12%)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E18271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226 (6.37%)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A1937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302 (8.51%)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A3602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3549</w:t>
            </w:r>
          </w:p>
        </w:tc>
      </w:tr>
      <w:tr w:rsidR="00B256E5" w:rsidRPr="00B256E5" w14:paraId="05B277B5" w14:textId="77777777" w:rsidTr="00B5731C">
        <w:trPr>
          <w:trHeight w:val="315"/>
        </w:trPr>
        <w:tc>
          <w:tcPr>
            <w:tcW w:w="3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140E0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Head and Neck Clinic (H-N)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2927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957 (87.4%)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A995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51 (4.66%)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9162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 (7.95%)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328D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1095</w:t>
            </w:r>
          </w:p>
        </w:tc>
      </w:tr>
    </w:tbl>
    <w:p w14:paraId="1260AD2F" w14:textId="070F716B" w:rsidR="00C7562C" w:rsidRDefault="00C7562C">
      <w:r>
        <w:br w:type="page"/>
      </w:r>
    </w:p>
    <w:p w14:paraId="2F9A03E7" w14:textId="77777777" w:rsidR="00B5731C" w:rsidRDefault="00B5731C"/>
    <w:tbl>
      <w:tblPr>
        <w:tblW w:w="8482" w:type="dxa"/>
        <w:tblLook w:val="04A0" w:firstRow="1" w:lastRow="0" w:firstColumn="1" w:lastColumn="0" w:noHBand="0" w:noVBand="1"/>
      </w:tblPr>
      <w:tblGrid>
        <w:gridCol w:w="3988"/>
        <w:gridCol w:w="1360"/>
        <w:gridCol w:w="1177"/>
        <w:gridCol w:w="1269"/>
        <w:gridCol w:w="688"/>
      </w:tblGrid>
      <w:tr w:rsidR="00C7562C" w:rsidRPr="00B256E5" w14:paraId="21B26235" w14:textId="77777777" w:rsidTr="00B5731C">
        <w:trPr>
          <w:trHeight w:val="315"/>
        </w:trPr>
        <w:tc>
          <w:tcPr>
            <w:tcW w:w="3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09C57B" w14:textId="77777777" w:rsidR="00C7562C" w:rsidRPr="008901F7" w:rsidRDefault="00C7562C" w:rsidP="001612B1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44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noWrap/>
            <w:vAlign w:val="bottom"/>
            <w:hideMark/>
          </w:tcPr>
          <w:p w14:paraId="2CE9D58E" w14:textId="77777777" w:rsidR="00C7562C" w:rsidRPr="008901F7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Racial Ethnic Breakdown n (%)</w:t>
            </w:r>
          </w:p>
        </w:tc>
      </w:tr>
      <w:tr w:rsidR="00C7562C" w:rsidRPr="00B256E5" w14:paraId="62009279" w14:textId="77777777" w:rsidTr="00B5731C">
        <w:trPr>
          <w:trHeight w:val="315"/>
        </w:trPr>
        <w:tc>
          <w:tcPr>
            <w:tcW w:w="39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vAlign w:val="bottom"/>
            <w:hideMark/>
          </w:tcPr>
          <w:p w14:paraId="536E58E1" w14:textId="77777777" w:rsidR="00C7562C" w:rsidRPr="008901F7" w:rsidRDefault="00C7562C" w:rsidP="001612B1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B549078" w14:textId="77777777" w:rsidR="00C7562C" w:rsidRPr="008901F7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White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637388B" w14:textId="77777777" w:rsidR="00C7562C" w:rsidRPr="008901F7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ABMO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F80E405" w14:textId="77777777" w:rsidR="00C7562C" w:rsidRPr="008901F7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EB85E25" w14:textId="77777777" w:rsidR="00C7562C" w:rsidRPr="008901F7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C7562C" w:rsidRPr="00B256E5" w14:paraId="7207AA4A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A705B0" w14:textId="4DFD883F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Infusion Center (ICIP)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4920DD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521 (85.69%)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22A20A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33 (5.43%)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533E3A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54 (8.88%)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B0C1C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608</w:t>
            </w:r>
          </w:p>
        </w:tc>
      </w:tr>
      <w:tr w:rsidR="00B256E5" w:rsidRPr="00B256E5" w14:paraId="31C993F3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CCA67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Infusion Center (IFMK)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D8C1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929 (83.92%)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0A7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80 (7.23%)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1AB2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98 (8.85%)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CF9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1107</w:t>
            </w:r>
          </w:p>
        </w:tc>
      </w:tr>
      <w:tr w:rsidR="00C7562C" w:rsidRPr="00B256E5" w14:paraId="1F1D3947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3DA9EC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Infusion Center (INFU)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1AC71A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1641 (83.13%)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F906F2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164 (8.31%)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05FFF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169 (8.56%)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389E4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1974</w:t>
            </w:r>
          </w:p>
        </w:tc>
      </w:tr>
      <w:tr w:rsidR="00B256E5" w:rsidRPr="00B256E5" w14:paraId="01B21D60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B1BB4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Interventional Pain Clinic (ITPN)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AA1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113 (80.71%)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558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13 (9.29%)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EAC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 (10%)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943F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140</w:t>
            </w:r>
          </w:p>
        </w:tc>
      </w:tr>
      <w:tr w:rsidR="00C7562C" w:rsidRPr="00B256E5" w14:paraId="4ADA9E77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91DA50C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Magnolia Multi-Specialty Clinic (MMSC)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151878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169 (86.67%)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C9A33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 (7.18%)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587F01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12 (6.15%)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B1189A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195</w:t>
            </w:r>
          </w:p>
        </w:tc>
      </w:tr>
      <w:tr w:rsidR="00B256E5" w:rsidRPr="00B256E5" w14:paraId="0492436D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E0A0E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NeuroOncology</w:t>
            </w:r>
            <w:proofErr w:type="spellEnd"/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(NEUR)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4983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630 (82.35%)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941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54 (7.06%)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DA725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81 (10.59%)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2152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765</w:t>
            </w:r>
          </w:p>
        </w:tc>
      </w:tr>
      <w:tr w:rsidR="00C7562C" w:rsidRPr="00B256E5" w14:paraId="3C08F384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31604C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Plastic Surgery Center (PLMK)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3482A2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487 (81.03%)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287408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39 (6.49%)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9C3C47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75 (12.48%)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54533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601</w:t>
            </w:r>
          </w:p>
        </w:tc>
      </w:tr>
      <w:tr w:rsidR="00B256E5" w:rsidRPr="00B256E5" w14:paraId="56686F86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F1EF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Radiation Therapy (ROIP)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835A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139 (81.29%)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A9E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12 (7.02%)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9984D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20 (11.7%)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4AC7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171</w:t>
            </w:r>
          </w:p>
        </w:tc>
      </w:tr>
      <w:tr w:rsidR="00C7562C" w:rsidRPr="00B256E5" w14:paraId="6626BACD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F8B46E9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Sarcoma Clinic (SARC)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2C53A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859 (82.6%)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92F79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78 (7.5%)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930B98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103 (9.9%)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4AB5A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1040</w:t>
            </w:r>
          </w:p>
        </w:tc>
      </w:tr>
      <w:tr w:rsidR="00B256E5" w:rsidRPr="00B256E5" w14:paraId="097AF2C7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93817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Senior Adult Clinic (SRAD)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9C09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630 (89.62%)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E52F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37 (5.26%)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E66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36 (5.12%)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2113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703</w:t>
            </w:r>
          </w:p>
        </w:tc>
      </w:tr>
      <w:tr w:rsidR="00C7562C" w:rsidRPr="00B256E5" w14:paraId="641F779F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C06B93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Supportive Care Medicine Clinic (SUPP)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CEBB17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212 (82.49%)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90495A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 (9.73%)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FEEC71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20 (7.78%)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58B4D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257</w:t>
            </w:r>
          </w:p>
        </w:tc>
      </w:tr>
      <w:tr w:rsidR="00B256E5" w:rsidRPr="00B256E5" w14:paraId="3D223FCC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CF9D6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Survivorship Clinic (SURV)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94FE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533 (83.28%)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A02A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59 (9.22%)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4253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48 (7.5%)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A97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640</w:t>
            </w:r>
          </w:p>
        </w:tc>
      </w:tr>
      <w:tr w:rsidR="00C7562C" w:rsidRPr="00B256E5" w14:paraId="5946286D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F65697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Thoracic Clinic (THNE)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664C4C2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1478 (89.68%)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2DD218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 (5.22%)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85B930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84 (5.1%)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C2457B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1648</w:t>
            </w:r>
          </w:p>
        </w:tc>
      </w:tr>
      <w:tr w:rsidR="00B256E5" w:rsidRPr="00B256E5" w14:paraId="5CDD5BFB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9BDBA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Clinic (WCCL)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08A8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869 (81.37%)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02C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 (8.24%)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D6190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111 (10.39%)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A01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1068</w:t>
            </w:r>
          </w:p>
        </w:tc>
      </w:tr>
      <w:tr w:rsidR="00C7562C" w:rsidRPr="00B256E5" w14:paraId="51F347FC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31E81AE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Infusion Center (WCIC)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461AD5A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379 (82.93%)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4437EE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33 (7.22%)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225DF5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45 (9.85%)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77B5831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457</w:t>
            </w:r>
          </w:p>
        </w:tc>
      </w:tr>
      <w:tr w:rsidR="00B256E5" w:rsidRPr="00B256E5" w14:paraId="3D4E621D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D75DF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Radiation (WCRA)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FD85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164 (87.7%)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C0E1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 (4.81%)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4C1D9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14 (7.49%)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D7E9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187</w:t>
            </w:r>
          </w:p>
        </w:tc>
      </w:tr>
      <w:tr w:rsidR="00C7562C" w:rsidRPr="00B256E5" w14:paraId="5E19BAF3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16C4A9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Women's Oncology-GYN Clinic (WDC)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833DDF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623 (78.36%)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E94984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67 (8.43%)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B60B98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105 (13.21%)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6E79A5C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795</w:t>
            </w:r>
          </w:p>
        </w:tc>
      </w:tr>
      <w:tr w:rsidR="00B256E5" w:rsidRPr="00B256E5" w14:paraId="5974035F" w14:textId="77777777" w:rsidTr="00B5731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5DBF7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01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Radiation Therapy Clinic (XRT)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4447B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2474 (85.55%)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413E6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204 (7.05%)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4A13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214 (7.4%)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2ADD7" w14:textId="77777777" w:rsidR="00B256E5" w:rsidRPr="00B256E5" w:rsidRDefault="00B256E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2892</w:t>
            </w:r>
          </w:p>
        </w:tc>
      </w:tr>
    </w:tbl>
    <w:p w14:paraId="3B316426" w14:textId="77777777" w:rsidR="00B256E5" w:rsidRPr="00B256E5" w:rsidRDefault="00B256E5" w:rsidP="00736620">
      <w:pPr>
        <w:pStyle w:val="Heading1"/>
        <w:rPr>
          <w:sz w:val="18"/>
          <w:szCs w:val="18"/>
        </w:rPr>
      </w:pPr>
    </w:p>
    <w:p w14:paraId="3F7E3ED6" w14:textId="77777777" w:rsidR="00B256E5" w:rsidRPr="00B256E5" w:rsidRDefault="00B256E5">
      <w:pPr>
        <w:rPr>
          <w:rFonts w:asciiTheme="majorHAnsi" w:eastAsiaTheme="majorEastAsia" w:hAnsiTheme="majorHAnsi" w:cstheme="majorBidi"/>
          <w:color w:val="2F5496" w:themeColor="accent1" w:themeShade="BF"/>
          <w:sz w:val="18"/>
          <w:szCs w:val="18"/>
        </w:rPr>
      </w:pPr>
      <w:r w:rsidRPr="00B256E5">
        <w:rPr>
          <w:sz w:val="18"/>
          <w:szCs w:val="18"/>
        </w:rPr>
        <w:br w:type="page"/>
      </w:r>
    </w:p>
    <w:p w14:paraId="4FC13326" w14:textId="70DBE8C8" w:rsidR="00B03A1C" w:rsidRPr="00976622" w:rsidRDefault="00736620" w:rsidP="001B0126">
      <w:pPr>
        <w:pStyle w:val="Heading1"/>
        <w:rPr>
          <w:sz w:val="28"/>
          <w:szCs w:val="28"/>
        </w:rPr>
      </w:pPr>
      <w:r w:rsidRPr="00976622">
        <w:rPr>
          <w:sz w:val="28"/>
          <w:szCs w:val="28"/>
        </w:rPr>
        <w:lastRenderedPageBreak/>
        <w:t>Top Box Scores &amp; Model Results</w:t>
      </w:r>
    </w:p>
    <w:p w14:paraId="693D6D15" w14:textId="77777777" w:rsidR="00B256E5" w:rsidRPr="00B256E5" w:rsidRDefault="00B256E5" w:rsidP="001B0126">
      <w:pPr>
        <w:pStyle w:val="Heading1"/>
        <w:sectPr w:rsidR="00B256E5" w:rsidRPr="00B256E5" w:rsidSect="00C756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EC089" w14:textId="46EADCEC" w:rsidR="00B03A1C" w:rsidRPr="00B256E5" w:rsidRDefault="00B03A1C" w:rsidP="00B153AD">
      <w:pPr>
        <w:rPr>
          <w:sz w:val="18"/>
          <w:szCs w:val="18"/>
        </w:rPr>
        <w:sectPr w:rsidR="00B03A1C" w:rsidRPr="00B256E5" w:rsidSect="00C756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7293" w:type="dxa"/>
        <w:tblLook w:val="04A0" w:firstRow="1" w:lastRow="0" w:firstColumn="1" w:lastColumn="0" w:noHBand="0" w:noVBand="1"/>
      </w:tblPr>
      <w:tblGrid>
        <w:gridCol w:w="3988"/>
        <w:gridCol w:w="763"/>
        <w:gridCol w:w="760"/>
        <w:gridCol w:w="937"/>
        <w:gridCol w:w="845"/>
      </w:tblGrid>
      <w:tr w:rsidR="00B256E5" w:rsidRPr="00B256E5" w14:paraId="71881FA7" w14:textId="77777777" w:rsidTr="00C7562C">
        <w:trPr>
          <w:trHeight w:val="315"/>
        </w:trPr>
        <w:tc>
          <w:tcPr>
            <w:tcW w:w="3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D2B3903" w14:textId="77777777" w:rsidR="00B256E5" w:rsidRPr="008901F7" w:rsidRDefault="00B256E5" w:rsidP="008901F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bookmarkStart w:id="1" w:name="_Hlk163567947"/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33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noWrap/>
            <w:vAlign w:val="bottom"/>
            <w:hideMark/>
          </w:tcPr>
          <w:p w14:paraId="0E3710B1" w14:textId="77777777" w:rsidR="00B256E5" w:rsidRPr="008901F7" w:rsidRDefault="00B256E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Top Box Scores</w:t>
            </w:r>
          </w:p>
        </w:tc>
      </w:tr>
      <w:tr w:rsidR="008901F7" w:rsidRPr="00B256E5" w14:paraId="63606863" w14:textId="77777777" w:rsidTr="00C7562C">
        <w:trPr>
          <w:trHeight w:val="315"/>
        </w:trPr>
        <w:tc>
          <w:tcPr>
            <w:tcW w:w="39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vAlign w:val="bottom"/>
            <w:hideMark/>
          </w:tcPr>
          <w:p w14:paraId="0E334334" w14:textId="77777777" w:rsidR="00B256E5" w:rsidRPr="008901F7" w:rsidRDefault="00B256E5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FA5ED58" w14:textId="77777777" w:rsidR="00B256E5" w:rsidRPr="008901F7" w:rsidRDefault="00B256E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White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B8F1F6F" w14:textId="7006B87B" w:rsidR="00B256E5" w:rsidRPr="008901F7" w:rsidRDefault="00B256E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AB</w:t>
            </w:r>
            <w:r w:rsidR="00CD486D"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M</w:t>
            </w: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CB5D6B1" w14:textId="77777777" w:rsidR="00B256E5" w:rsidRPr="008901F7" w:rsidRDefault="00B256E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6FA1766" w14:textId="77777777" w:rsidR="00B256E5" w:rsidRPr="008901F7" w:rsidRDefault="00B256E5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8901F7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Overall</w:t>
            </w:r>
          </w:p>
        </w:tc>
      </w:tr>
      <w:bookmarkEnd w:id="1"/>
      <w:tr w:rsidR="00B256E5" w:rsidRPr="00B256E5" w14:paraId="2E3EF748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190FC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ICE-T 3C Treatment Center (3 CT)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F73C00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92.21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9BAEE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71.11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D90C6C1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86.96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5ABD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89.32</w:t>
            </w:r>
          </w:p>
        </w:tc>
      </w:tr>
      <w:tr w:rsidR="008901F7" w:rsidRPr="00B256E5" w14:paraId="20F348BB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A14F43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Ambulatory Internal Medicine Clinic (AIM)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6A8979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D28890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1E840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91.83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BACA65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87.92</w:t>
            </w:r>
          </w:p>
        </w:tc>
      </w:tr>
      <w:tr w:rsidR="00B256E5" w:rsidRPr="00B256E5" w14:paraId="34775695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9DEB7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Apheresis Unit (APHR)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21CF79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92.82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7212941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E38635A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84B24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90.77</w:t>
            </w:r>
          </w:p>
        </w:tc>
      </w:tr>
      <w:tr w:rsidR="008901F7" w:rsidRPr="00B256E5" w14:paraId="2756331B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14155F0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Behavioral Medicine Clinic (BEHM)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28AC0CA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012CEB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79.86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C91FBD5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96.41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776E5AE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87.5</w:t>
            </w:r>
          </w:p>
        </w:tc>
      </w:tr>
      <w:tr w:rsidR="00B256E5" w:rsidRPr="00B256E5" w14:paraId="0E2E72EC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660E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and Marrow Transplant Clinic (BMTC)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49EF95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1D102D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80.75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A66790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89.34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3C0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89.93</w:t>
            </w:r>
          </w:p>
        </w:tc>
      </w:tr>
      <w:tr w:rsidR="008901F7" w:rsidRPr="00B256E5" w14:paraId="3031856D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FB76DE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Comprehensive Breast Clinic (BRMK)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80BDFC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952A9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85.77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790A7E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90.95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385D462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89.92</w:t>
            </w:r>
          </w:p>
        </w:tc>
      </w:tr>
      <w:tr w:rsidR="00B256E5" w:rsidRPr="00B256E5" w14:paraId="403CB7E7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8678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Transfusion Unit (BTU)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709C54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E2C142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86.21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21CFA3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90.57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BF8F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86.73</w:t>
            </w:r>
          </w:p>
        </w:tc>
      </w:tr>
      <w:tr w:rsidR="008901F7" w:rsidRPr="00B256E5" w14:paraId="12AAF0BF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467E26B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Cardio-Oncology Clinic (COMK)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0662A5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A73350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0C63D3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2626CA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88.52</w:t>
            </w:r>
          </w:p>
        </w:tc>
      </w:tr>
      <w:tr w:rsidR="00B256E5" w:rsidRPr="00B256E5" w14:paraId="22AECA26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8F4D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Clinical Research Unit (CRMK)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8A0547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D61F3F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71.88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679739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B761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87.87</w:t>
            </w:r>
          </w:p>
        </w:tc>
      </w:tr>
      <w:tr w:rsidR="008901F7" w:rsidRPr="00B256E5" w14:paraId="102B4F1E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8DD957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Clinical Research Unit (CRU)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AD7A7AA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E47DC0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D1E0E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85.09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FACB869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90.59</w:t>
            </w:r>
          </w:p>
        </w:tc>
      </w:tr>
      <w:tr w:rsidR="00B256E5" w:rsidRPr="00B256E5" w14:paraId="67F4465E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6E380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Cutaneous Clinic (CUMK)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9D288C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62DF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FAEE16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A29D8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89.13</w:t>
            </w:r>
          </w:p>
        </w:tc>
      </w:tr>
      <w:tr w:rsidR="008901F7" w:rsidRPr="00B256E5" w14:paraId="1956AC83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3C6A94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Clinic (CWIP)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D16ED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E969F2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3645B9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89.48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C1B2B3D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87.94</w:t>
            </w:r>
          </w:p>
        </w:tc>
      </w:tr>
      <w:tr w:rsidR="00B256E5" w:rsidRPr="00B256E5" w14:paraId="09E6271D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4DFE7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Endocrine Clinic (ECRI)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AAE713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13B269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87.04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543A12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92.07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4783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91.15</w:t>
            </w:r>
          </w:p>
        </w:tc>
      </w:tr>
      <w:tr w:rsidR="008901F7" w:rsidRPr="00B256E5" w14:paraId="03CD886E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7731B1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Genetics Clinic (GCMK)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0BA28F2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94.65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0C196F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82.85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DCA684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93.21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90EB1F3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93.56</w:t>
            </w:r>
          </w:p>
        </w:tc>
      </w:tr>
      <w:tr w:rsidR="00B256E5" w:rsidRPr="00B256E5" w14:paraId="09903C5B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8C92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GeneHome</w:t>
            </w:r>
            <w:proofErr w:type="spellEnd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(GHMK)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9D8A81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7B629B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26C235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85.19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44E65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91.57</w:t>
            </w:r>
          </w:p>
        </w:tc>
      </w:tr>
      <w:tr w:rsidR="008901F7" w:rsidRPr="00B256E5" w14:paraId="51EFBA02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D68235B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Gastrointestinal Oncology Clinic (GI)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F215205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C545C5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664261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81.04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D0D4A80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87.17</w:t>
            </w:r>
          </w:p>
        </w:tc>
      </w:tr>
      <w:tr w:rsidR="00B256E5" w:rsidRPr="00B256E5" w14:paraId="00D8E129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FD0B1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Genitourinary Clinic (GU)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DB5FAB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5FB48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79CFFC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90.82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E18C3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87.64</w:t>
            </w:r>
          </w:p>
        </w:tc>
      </w:tr>
      <w:tr w:rsidR="008901F7" w:rsidRPr="00B256E5" w14:paraId="198243C2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42A016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Head and Neck Clinic (H-N)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6043CB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B99295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DD3679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90.96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238D64E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88.46</w:t>
            </w:r>
          </w:p>
        </w:tc>
      </w:tr>
      <w:tr w:rsidR="00B256E5" w:rsidRPr="00B256E5" w14:paraId="01C95B88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E1FA7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Hematology Clinic (HEMM)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CC109A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9C508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86.68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BC9B3A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E672F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88.57</w:t>
            </w:r>
          </w:p>
        </w:tc>
      </w:tr>
    </w:tbl>
    <w:p w14:paraId="37437672" w14:textId="3223CD41" w:rsidR="0067740F" w:rsidRDefault="0067740F">
      <w:r>
        <w:br w:type="page"/>
      </w:r>
    </w:p>
    <w:p w14:paraId="2286084A" w14:textId="0AF8B1EA" w:rsidR="0067740F" w:rsidRDefault="0067740F" w:rsidP="0067740F">
      <w:pPr>
        <w:spacing w:line="480" w:lineRule="auto"/>
      </w:pPr>
    </w:p>
    <w:tbl>
      <w:tblPr>
        <w:tblW w:w="7293" w:type="dxa"/>
        <w:tblLook w:val="04A0" w:firstRow="1" w:lastRow="0" w:firstColumn="1" w:lastColumn="0" w:noHBand="0" w:noVBand="1"/>
      </w:tblPr>
      <w:tblGrid>
        <w:gridCol w:w="3988"/>
        <w:gridCol w:w="763"/>
        <w:gridCol w:w="760"/>
        <w:gridCol w:w="937"/>
        <w:gridCol w:w="845"/>
      </w:tblGrid>
      <w:tr w:rsidR="00C7562C" w:rsidRPr="00696F9E" w14:paraId="3639C20E" w14:textId="77777777" w:rsidTr="001612B1">
        <w:trPr>
          <w:trHeight w:val="315"/>
        </w:trPr>
        <w:tc>
          <w:tcPr>
            <w:tcW w:w="3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D1712B6" w14:textId="038C4519" w:rsidR="00C7562C" w:rsidRPr="0029763E" w:rsidRDefault="00C7562C" w:rsidP="001612B1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33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noWrap/>
            <w:vAlign w:val="center"/>
            <w:hideMark/>
          </w:tcPr>
          <w:p w14:paraId="19358B9D" w14:textId="77777777" w:rsidR="00C7562C" w:rsidRPr="0029763E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Top Box Scores</w:t>
            </w:r>
          </w:p>
        </w:tc>
      </w:tr>
      <w:tr w:rsidR="00C7562C" w:rsidRPr="00696F9E" w14:paraId="727D331C" w14:textId="77777777" w:rsidTr="001612B1">
        <w:trPr>
          <w:trHeight w:val="315"/>
        </w:trPr>
        <w:tc>
          <w:tcPr>
            <w:tcW w:w="39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4472C4" w:themeFill="accent1"/>
            <w:vAlign w:val="center"/>
            <w:hideMark/>
          </w:tcPr>
          <w:p w14:paraId="60D65984" w14:textId="77777777" w:rsidR="00C7562C" w:rsidRPr="0029763E" w:rsidRDefault="00C7562C" w:rsidP="001612B1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A351344" w14:textId="77777777" w:rsidR="00C7562C" w:rsidRPr="0029763E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White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130EA47" w14:textId="77777777" w:rsidR="00C7562C" w:rsidRPr="0029763E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ABMO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C985FB6" w14:textId="77777777" w:rsidR="00C7562C" w:rsidRPr="0029763E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C9CB29F" w14:textId="77777777" w:rsidR="00C7562C" w:rsidRPr="0029763E" w:rsidRDefault="00C7562C" w:rsidP="001612B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Overall</w:t>
            </w:r>
          </w:p>
        </w:tc>
      </w:tr>
      <w:tr w:rsidR="008901F7" w:rsidRPr="00B256E5" w14:paraId="70DD0219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4C921C9" w14:textId="1B3DD271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Infusion Center (ICIP)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321EA65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72A1562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8331A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83.14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13F64F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88.9</w:t>
            </w:r>
          </w:p>
        </w:tc>
      </w:tr>
      <w:tr w:rsidR="00B256E5" w:rsidRPr="00B256E5" w14:paraId="0376FA16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66B45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Infusion Center (IFMK)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06E2F6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E1C52A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82.97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F9B0C1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91.54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604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89.53</w:t>
            </w:r>
          </w:p>
        </w:tc>
      </w:tr>
      <w:tr w:rsidR="008901F7" w:rsidRPr="00B256E5" w14:paraId="4CDF0F92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664D37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Infusion Center (INFU)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51256C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97C725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80.86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8BF886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88.67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E150A1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86.39</w:t>
            </w:r>
          </w:p>
        </w:tc>
      </w:tr>
      <w:tr w:rsidR="00B256E5" w:rsidRPr="00B256E5" w14:paraId="5B52B521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4123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Interventional Pain Clinic (ITPN)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B80A12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0B3FD6F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99.36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40E6D1B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82.18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C804B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87.98</w:t>
            </w:r>
          </w:p>
        </w:tc>
      </w:tr>
      <w:tr w:rsidR="008901F7" w:rsidRPr="00B256E5" w14:paraId="0394A756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FBA4C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Magnolia Multi-Specialty Clinic (MMSC)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6EE494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E7F005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93CDCA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89.83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E8C9DB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88.26</w:t>
            </w:r>
          </w:p>
        </w:tc>
      </w:tr>
      <w:tr w:rsidR="00B256E5" w:rsidRPr="00B256E5" w14:paraId="14DA4F85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43A5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NeuroOncology</w:t>
            </w:r>
            <w:proofErr w:type="spellEnd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(NEUR)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6A04E3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83.26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EE4750F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6B905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C8BC1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84.07</w:t>
            </w:r>
          </w:p>
        </w:tc>
      </w:tr>
      <w:tr w:rsidR="008901F7" w:rsidRPr="00B256E5" w14:paraId="1A5BD9DB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296415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Plastic Surgery Center (PLMK)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CF12709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A7360F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5B64EF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81.95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3BD4B5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85.93</w:t>
            </w:r>
          </w:p>
        </w:tc>
      </w:tr>
      <w:tr w:rsidR="00B256E5" w:rsidRPr="00B256E5" w14:paraId="0728426B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5F94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Radiation Therapy (ROIP)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7C936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84.79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2E7EDA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78.57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C534C9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97.18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6B059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86.08</w:t>
            </w:r>
          </w:p>
        </w:tc>
      </w:tr>
      <w:tr w:rsidR="008901F7" w:rsidRPr="00B256E5" w14:paraId="77C8F320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E88AE8E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Sarcoma Clinic (SARC)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C9D537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A97692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A8BE41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D977DF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89.27</w:t>
            </w:r>
          </w:p>
        </w:tc>
      </w:tr>
      <w:tr w:rsidR="00B256E5" w:rsidRPr="00B256E5" w14:paraId="632C57CA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16D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Senior Adult Clinic (SRAD)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A8E59C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70F5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73.22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9B56E73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86.02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B21C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87.37</w:t>
            </w:r>
          </w:p>
        </w:tc>
      </w:tr>
      <w:tr w:rsidR="008901F7" w:rsidRPr="00B256E5" w14:paraId="011DD49C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730C191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Supportive Care Medicine Clinic (SUPP)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7EA1B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83.74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90E61E9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76.82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7CF1A95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84.46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F3BB866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83.13</w:t>
            </w:r>
          </w:p>
        </w:tc>
      </w:tr>
      <w:tr w:rsidR="00B256E5" w:rsidRPr="00B256E5" w14:paraId="461048E8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216F2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Survivorship Clinic (SURV)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3E73D8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92.69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930FE0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88.78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78D0D2F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F8CFA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91.78</w:t>
            </w:r>
          </w:p>
        </w:tc>
      </w:tr>
      <w:tr w:rsidR="008901F7" w:rsidRPr="00B256E5" w14:paraId="4FAB0F20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C9D04F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Thoracic Clinic (THNE)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E49535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E0F3F7E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A03AD8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24C51F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86.73</w:t>
            </w:r>
          </w:p>
        </w:tc>
      </w:tr>
      <w:tr w:rsidR="00B256E5" w:rsidRPr="00B256E5" w14:paraId="4610F8C7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28CC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Clinic (WCCL)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9DA02B6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A6C97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89.82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88BFA21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92.15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78F4B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90.87</w:t>
            </w:r>
          </w:p>
        </w:tc>
      </w:tr>
      <w:tr w:rsidR="008901F7" w:rsidRPr="00B256E5" w14:paraId="116380B8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24BD8B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Infusion Center (WCIC)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88296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2A93F30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EA0E6D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B3813F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89.23</w:t>
            </w:r>
          </w:p>
        </w:tc>
      </w:tr>
      <w:tr w:rsidR="00B256E5" w:rsidRPr="00B256E5" w14:paraId="56919E58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DC1FA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Radiation (WCRA)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F1750F7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C89CF9A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DEDFF72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91.71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D6A3E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92.21</w:t>
            </w:r>
          </w:p>
        </w:tc>
      </w:tr>
      <w:tr w:rsidR="008901F7" w:rsidRPr="00B256E5" w14:paraId="0FDC86CE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747D4C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Women's Oncology-GYN Clinic (WDC)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F7929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87.85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ABF9DB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89.95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4128724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D74E1C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88.15</w:t>
            </w:r>
          </w:p>
        </w:tc>
      </w:tr>
      <w:tr w:rsidR="00B256E5" w:rsidRPr="00B256E5" w14:paraId="28569674" w14:textId="77777777" w:rsidTr="00C7562C">
        <w:trPr>
          <w:trHeight w:val="315"/>
        </w:trPr>
        <w:tc>
          <w:tcPr>
            <w:tcW w:w="3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C3F44" w14:textId="77777777" w:rsidR="00B256E5" w:rsidRPr="00B256E5" w:rsidRDefault="00B256E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Radiation Therapy Clinic (XRT)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E83D08C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1E45138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88.79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F0C9A52" w14:textId="77777777" w:rsidR="00B256E5" w:rsidRPr="00B256E5" w:rsidRDefault="00B256E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color w:val="000000"/>
                <w:sz w:val="18"/>
                <w:szCs w:val="18"/>
              </w:rPr>
              <w:t>90.72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938D9" w14:textId="77777777" w:rsidR="00B256E5" w:rsidRPr="00B256E5" w:rsidRDefault="00B256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89.98</w:t>
            </w:r>
          </w:p>
        </w:tc>
      </w:tr>
    </w:tbl>
    <w:p w14:paraId="35E823E6" w14:textId="12A02B36" w:rsidR="00157A46" w:rsidRDefault="00157A46" w:rsidP="00157A46">
      <w:pPr>
        <w:pStyle w:val="ListParagraph"/>
      </w:pPr>
    </w:p>
    <w:p w14:paraId="25A6830C" w14:textId="77777777" w:rsidR="00F31D04" w:rsidRPr="00C7562C" w:rsidRDefault="00F31D04" w:rsidP="00157A46">
      <w:pPr>
        <w:pStyle w:val="ListParagraph"/>
      </w:pPr>
    </w:p>
    <w:p w14:paraId="101514C4" w14:textId="1FF0111A" w:rsidR="00B03A1C" w:rsidRDefault="00B03A1C" w:rsidP="00B03A1C">
      <w:pPr>
        <w:pStyle w:val="ListParagraph"/>
        <w:numPr>
          <w:ilvl w:val="0"/>
          <w:numId w:val="3"/>
        </w:numPr>
      </w:pPr>
      <w:r w:rsidRPr="00C7562C">
        <w:t>White patients scored lowest in 4 clinics (AIM, NEUR, WCIC, WDC)</w:t>
      </w:r>
      <w:r w:rsidR="007D1899">
        <w:t xml:space="preserve"> and highest in 14 clinics.</w:t>
      </w:r>
    </w:p>
    <w:p w14:paraId="57CCCE89" w14:textId="77777777" w:rsidR="007D1899" w:rsidRPr="00C7562C" w:rsidRDefault="007D1899" w:rsidP="007D1899">
      <w:pPr>
        <w:ind w:left="360"/>
      </w:pPr>
    </w:p>
    <w:p w14:paraId="4470C099" w14:textId="47C46ADB" w:rsidR="007D1899" w:rsidRDefault="00B03A1C" w:rsidP="007D1899">
      <w:pPr>
        <w:pStyle w:val="ListParagraph"/>
        <w:numPr>
          <w:ilvl w:val="0"/>
          <w:numId w:val="3"/>
        </w:numPr>
      </w:pPr>
      <w:r w:rsidRPr="00C7562C">
        <w:t>Hispanic patients scored lowest in 9 clinics. (CRU, GHMK, GI, ICIP, ITPN, PLMK, SARC, SURV, and WCRA)</w:t>
      </w:r>
      <w:r w:rsidR="007D1899">
        <w:t xml:space="preserve"> and highest in 17 clinics.</w:t>
      </w:r>
    </w:p>
    <w:p w14:paraId="335AB60E" w14:textId="77777777" w:rsidR="007D1899" w:rsidRDefault="007D1899" w:rsidP="007D1899">
      <w:pPr>
        <w:pStyle w:val="ListParagraph"/>
      </w:pPr>
    </w:p>
    <w:p w14:paraId="55442C0C" w14:textId="77777777" w:rsidR="007D1899" w:rsidRPr="00C7562C" w:rsidRDefault="007D1899" w:rsidP="007D1899">
      <w:pPr>
        <w:pStyle w:val="ListParagraph"/>
      </w:pPr>
    </w:p>
    <w:p w14:paraId="667F4673" w14:textId="0FDCAD46" w:rsidR="00696F9E" w:rsidRPr="00C7562C" w:rsidRDefault="00B03A1C" w:rsidP="00667952">
      <w:pPr>
        <w:pStyle w:val="ListParagraph"/>
        <w:numPr>
          <w:ilvl w:val="0"/>
          <w:numId w:val="3"/>
        </w:numPr>
        <w:sectPr w:rsidR="00696F9E" w:rsidRPr="00C7562C" w:rsidSect="00C756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7562C">
        <w:t>ABO patients scored lowest in 24 clinics</w:t>
      </w:r>
      <w:r w:rsidR="007D1899">
        <w:t xml:space="preserve"> and highest in 6 clinics (GHMK, ICIP, ITPN, WCIC, WCRA, and WDC).</w:t>
      </w:r>
    </w:p>
    <w:p w14:paraId="038F7E15" w14:textId="16595F8D" w:rsidR="00C7562C" w:rsidRDefault="00C7562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DB365C8" w14:textId="77777777" w:rsidR="00667952" w:rsidRPr="00B256E5" w:rsidRDefault="00667952" w:rsidP="00667952">
      <w:pPr>
        <w:rPr>
          <w:sz w:val="18"/>
          <w:szCs w:val="18"/>
        </w:rPr>
      </w:pPr>
    </w:p>
    <w:tbl>
      <w:tblPr>
        <w:tblW w:w="7836" w:type="dxa"/>
        <w:jc w:val="center"/>
        <w:tblLook w:val="04A0" w:firstRow="1" w:lastRow="0" w:firstColumn="1" w:lastColumn="0" w:noHBand="0" w:noVBand="1"/>
      </w:tblPr>
      <w:tblGrid>
        <w:gridCol w:w="3960"/>
        <w:gridCol w:w="1823"/>
        <w:gridCol w:w="2053"/>
      </w:tblGrid>
      <w:tr w:rsidR="00696F9E" w:rsidRPr="00B256E5" w14:paraId="1B6A5253" w14:textId="77777777" w:rsidTr="00976622">
        <w:trPr>
          <w:trHeight w:val="264"/>
          <w:jc w:val="center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</w:tcPr>
          <w:p w14:paraId="677C4FE0" w14:textId="6B861DB5" w:rsidR="00696F9E" w:rsidRPr="0029763E" w:rsidRDefault="00696F9E" w:rsidP="00976622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3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bottom"/>
          </w:tcPr>
          <w:p w14:paraId="5514D633" w14:textId="42E027B7" w:rsidR="00696F9E" w:rsidRPr="0029763E" w:rsidRDefault="00696F9E" w:rsidP="0097662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Odds Estimate (95% Confidence Interval)</w:t>
            </w:r>
          </w:p>
        </w:tc>
      </w:tr>
      <w:tr w:rsidR="00696F9E" w:rsidRPr="00B256E5" w14:paraId="2DDBB36B" w14:textId="77777777" w:rsidTr="00976622">
        <w:trPr>
          <w:trHeight w:val="264"/>
          <w:jc w:val="center"/>
        </w:trPr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14688F34" w14:textId="7A88C1F7" w:rsidR="00696F9E" w:rsidRPr="0029763E" w:rsidRDefault="00696F9E" w:rsidP="00976622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6789B6AF" w14:textId="384F0E1F" w:rsidR="00696F9E" w:rsidRPr="0029763E" w:rsidRDefault="00696F9E" w:rsidP="0097662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ABMO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29325634" w14:textId="2E86CAF3" w:rsidR="00696F9E" w:rsidRPr="0029763E" w:rsidRDefault="00696F9E" w:rsidP="0097662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</w:tr>
      <w:tr w:rsidR="004C5887" w:rsidRPr="00B256E5" w14:paraId="3520C379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83A6" w14:textId="2629ADCF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Apheresis Unit (APHR)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8489BE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0.05 (0,0.99)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11B8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1.95 (0.08,48.71)</w:t>
            </w:r>
          </w:p>
        </w:tc>
      </w:tr>
      <w:tr w:rsidR="004C5887" w:rsidRPr="00696F9E" w14:paraId="3AB9BC5F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B892" w14:textId="340D1904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Blood and Marrow Transplant Clinic (BMTC</w:t>
            </w: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F8E550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0.15 (0.03,0.68)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2B2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1.02 (0.23,4.49)</w:t>
            </w:r>
          </w:p>
        </w:tc>
      </w:tr>
      <w:tr w:rsidR="004C5887" w:rsidRPr="00696F9E" w14:paraId="745A16C1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625B" w14:textId="758570C3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Genetics Clinic (GCMK)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140378A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0.03 (0,0.69)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8E5C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1.03 (0.11,9.94)</w:t>
            </w:r>
          </w:p>
        </w:tc>
      </w:tr>
      <w:tr w:rsidR="004C5887" w:rsidRPr="00696F9E" w14:paraId="23248013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F149" w14:textId="1B43DF87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Senior Adult Clinic (SRAD)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2CCB4D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0.09 (0.01,0.69)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3A30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0.87 (0.12,6.4)</w:t>
            </w:r>
          </w:p>
        </w:tc>
      </w:tr>
      <w:tr w:rsidR="004C5887" w:rsidRPr="00696F9E" w14:paraId="5ED2CE60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AB0C" w14:textId="15E30D18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Gastrointestinal Oncology Clinic (GI)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040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0.72 (0.28,1.9)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801492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0.41 (0.17,0.98)</w:t>
            </w:r>
          </w:p>
        </w:tc>
      </w:tr>
      <w:tr w:rsidR="004C5887" w:rsidRPr="00696F9E" w14:paraId="5C94AE3C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1995" w14:textId="427A1D66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bookmarkStart w:id="2" w:name="_Hlk163570838"/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Genitourinary Clinic (GU)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AA12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0.81 (0.32,2.05)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2F48C2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2.64 (1.15,6.03)</w:t>
            </w:r>
          </w:p>
        </w:tc>
      </w:tr>
      <w:tr w:rsidR="004C5887" w:rsidRPr="00696F9E" w14:paraId="78150FEB" w14:textId="77777777" w:rsidTr="00976622">
        <w:trPr>
          <w:trHeight w:val="264"/>
          <w:jc w:val="center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047A" w14:textId="61C69710" w:rsidR="004C5887" w:rsidRPr="006327F8" w:rsidRDefault="00696F9E" w:rsidP="009766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Moffitt Wesley Chapel Radiation (WCRA)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D1DA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56.06 (0.1,32835.33)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3E67C5" w14:textId="77777777" w:rsidR="004C5887" w:rsidRPr="006327F8" w:rsidRDefault="004C5887" w:rsidP="00976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327F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1.07 (1.07,1.08)</w:t>
            </w:r>
          </w:p>
        </w:tc>
      </w:tr>
      <w:bookmarkEnd w:id="2"/>
    </w:tbl>
    <w:p w14:paraId="57BA810B" w14:textId="77777777" w:rsidR="00A8213F" w:rsidRPr="00B256E5" w:rsidRDefault="00A8213F" w:rsidP="006C1469">
      <w:pPr>
        <w:rPr>
          <w:sz w:val="18"/>
          <w:szCs w:val="18"/>
        </w:rPr>
      </w:pPr>
    </w:p>
    <w:p w14:paraId="63DCCEB5" w14:textId="77777777" w:rsidR="00976622" w:rsidRPr="00C7562C" w:rsidRDefault="00A8213F" w:rsidP="009766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7562C">
        <w:rPr>
          <w:b/>
          <w:bCs/>
        </w:rPr>
        <w:t>Hispanic</w:t>
      </w:r>
      <w:r w:rsidRPr="00C7562C">
        <w:t xml:space="preserve"> patients had a </w:t>
      </w:r>
      <w:r w:rsidRPr="00C7562C">
        <w:rPr>
          <w:b/>
          <w:bCs/>
          <w:i/>
          <w:iCs/>
        </w:rPr>
        <w:t>statistically significant</w:t>
      </w:r>
      <w:r w:rsidRPr="00C7562C">
        <w:t xml:space="preserve"> </w:t>
      </w:r>
      <w:r w:rsidRPr="00C7562C">
        <w:rPr>
          <w:b/>
          <w:bCs/>
          <w:i/>
          <w:iCs/>
        </w:rPr>
        <w:t>lower likelihood</w:t>
      </w:r>
      <w:r w:rsidRPr="00C7562C">
        <w:t xml:space="preserve"> of giving top box scores than </w:t>
      </w:r>
      <w:r w:rsidRPr="00C7562C">
        <w:rPr>
          <w:b/>
          <w:bCs/>
        </w:rPr>
        <w:t>White</w:t>
      </w:r>
      <w:r w:rsidRPr="00C7562C">
        <w:t xml:space="preserve"> patients in the </w:t>
      </w:r>
      <w:r w:rsidR="00976622" w:rsidRPr="006327F8">
        <w:rPr>
          <w:rFonts w:ascii="Calibri" w:eastAsia="Times New Roman" w:hAnsi="Calibri" w:cs="Calibri"/>
          <w:b/>
          <w:bCs/>
          <w:i/>
          <w:iCs/>
          <w:color w:val="000000"/>
        </w:rPr>
        <w:t>Gastrointestinal Oncology Clinic (GI)</w:t>
      </w:r>
      <w:r w:rsidR="00976622" w:rsidRPr="006327F8">
        <w:rPr>
          <w:rFonts w:ascii="Calibri" w:eastAsia="Times New Roman" w:hAnsi="Calibri" w:cs="Calibri"/>
          <w:b/>
          <w:bCs/>
          <w:i/>
          <w:iCs/>
          <w:color w:val="000000"/>
        </w:rPr>
        <w:t>.</w:t>
      </w:r>
    </w:p>
    <w:p w14:paraId="083D92EF" w14:textId="77777777" w:rsidR="00976622" w:rsidRPr="00C7562C" w:rsidRDefault="00976622" w:rsidP="009766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7752DB1" w14:textId="28F2DE0E" w:rsidR="00976622" w:rsidRPr="00C7562C" w:rsidRDefault="00A8213F" w:rsidP="009766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7562C">
        <w:rPr>
          <w:b/>
          <w:bCs/>
        </w:rPr>
        <w:t>Hispanic</w:t>
      </w:r>
      <w:r w:rsidRPr="00C7562C">
        <w:t xml:space="preserve"> patients had a </w:t>
      </w:r>
      <w:r w:rsidRPr="00C7562C">
        <w:rPr>
          <w:b/>
          <w:bCs/>
          <w:i/>
          <w:iCs/>
        </w:rPr>
        <w:t>statistically significant</w:t>
      </w:r>
      <w:r w:rsidRPr="00C7562C">
        <w:t xml:space="preserve"> </w:t>
      </w:r>
      <w:r w:rsidRPr="00C7562C">
        <w:rPr>
          <w:b/>
          <w:bCs/>
          <w:i/>
          <w:iCs/>
        </w:rPr>
        <w:t>higher likelihood</w:t>
      </w:r>
      <w:r w:rsidRPr="00C7562C">
        <w:t xml:space="preserve"> of giving top box scores than </w:t>
      </w:r>
      <w:r w:rsidRPr="00C7562C">
        <w:rPr>
          <w:b/>
          <w:bCs/>
        </w:rPr>
        <w:t>White</w:t>
      </w:r>
      <w:r w:rsidRPr="00C7562C">
        <w:t xml:space="preserve"> patients in </w:t>
      </w:r>
      <w:r w:rsidR="00976622" w:rsidRPr="00C7562C">
        <w:t xml:space="preserve">the </w:t>
      </w:r>
      <w:r w:rsidR="00976622" w:rsidRPr="006327F8">
        <w:rPr>
          <w:b/>
          <w:bCs/>
          <w:i/>
          <w:iCs/>
        </w:rPr>
        <w:t>Genitourinary</w:t>
      </w:r>
      <w:r w:rsidR="00976622" w:rsidRPr="006327F8">
        <w:rPr>
          <w:b/>
          <w:bCs/>
          <w:i/>
          <w:iCs/>
        </w:rPr>
        <w:t xml:space="preserve"> Clinic (GU)</w:t>
      </w:r>
      <w:r w:rsidR="00976622" w:rsidRPr="006327F8">
        <w:rPr>
          <w:i/>
          <w:iCs/>
        </w:rPr>
        <w:t xml:space="preserve"> and</w:t>
      </w:r>
      <w:r w:rsidR="00976622" w:rsidRPr="00C7562C">
        <w:t xml:space="preserve"> </w:t>
      </w:r>
      <w:r w:rsidR="00976622" w:rsidRPr="006327F8">
        <w:rPr>
          <w:b/>
          <w:bCs/>
          <w:i/>
          <w:iCs/>
        </w:rPr>
        <w:t>Moffitt Wesley Chapel Radiation (WCRA)</w:t>
      </w:r>
      <w:r w:rsidRPr="006327F8">
        <w:rPr>
          <w:b/>
          <w:bCs/>
          <w:i/>
          <w:iCs/>
        </w:rPr>
        <w:t>.</w:t>
      </w:r>
    </w:p>
    <w:p w14:paraId="0BEA80B5" w14:textId="77777777" w:rsidR="00976622" w:rsidRPr="00C7562C" w:rsidRDefault="00976622" w:rsidP="00A8213F"/>
    <w:p w14:paraId="23FE5710" w14:textId="4FE93028" w:rsidR="00A8213F" w:rsidRPr="00C7562C" w:rsidRDefault="00A8213F" w:rsidP="00A8213F">
      <w:r w:rsidRPr="00C7562C">
        <w:t xml:space="preserve">The </w:t>
      </w:r>
      <w:r w:rsidRPr="00C7562C">
        <w:rPr>
          <w:b/>
          <w:bCs/>
          <w:i/>
          <w:iCs/>
        </w:rPr>
        <w:t>lower likelihood</w:t>
      </w:r>
      <w:r w:rsidRPr="00C7562C">
        <w:t xml:space="preserve"> of giving the top box for </w:t>
      </w:r>
      <w:r w:rsidR="00C7562C" w:rsidRPr="00C7562C">
        <w:rPr>
          <w:b/>
          <w:bCs/>
        </w:rPr>
        <w:t>Asian/Black/Mixed Race/Other</w:t>
      </w:r>
      <w:r w:rsidRPr="00C7562C">
        <w:t xml:space="preserve"> patients than </w:t>
      </w:r>
      <w:r w:rsidRPr="00C7562C">
        <w:rPr>
          <w:b/>
          <w:bCs/>
        </w:rPr>
        <w:t xml:space="preserve">White </w:t>
      </w:r>
      <w:r w:rsidRPr="00C7562C">
        <w:t xml:space="preserve">patients was </w:t>
      </w:r>
      <w:r w:rsidRPr="00C7562C">
        <w:rPr>
          <w:b/>
          <w:bCs/>
          <w:i/>
          <w:iCs/>
        </w:rPr>
        <w:t>statistically significant</w:t>
      </w:r>
      <w:r w:rsidRPr="00C7562C">
        <w:t xml:space="preserve"> in four clinics: </w:t>
      </w:r>
    </w:p>
    <w:p w14:paraId="30BE820B" w14:textId="77777777" w:rsidR="00976622" w:rsidRPr="006327F8" w:rsidRDefault="00976622" w:rsidP="00976622">
      <w:pPr>
        <w:pStyle w:val="ListParagraph"/>
        <w:numPr>
          <w:ilvl w:val="0"/>
          <w:numId w:val="2"/>
        </w:numPr>
        <w:rPr>
          <w:i/>
          <w:iCs/>
        </w:rPr>
      </w:pPr>
      <w:r w:rsidRPr="006327F8">
        <w:rPr>
          <w:i/>
          <w:iCs/>
        </w:rPr>
        <w:t>Apheresis Unit (APHR)</w:t>
      </w:r>
    </w:p>
    <w:p w14:paraId="178FA695" w14:textId="77777777" w:rsidR="00976622" w:rsidRPr="006327F8" w:rsidRDefault="00976622" w:rsidP="00976622">
      <w:pPr>
        <w:pStyle w:val="ListParagraph"/>
        <w:numPr>
          <w:ilvl w:val="0"/>
          <w:numId w:val="2"/>
        </w:numPr>
        <w:rPr>
          <w:i/>
          <w:iCs/>
        </w:rPr>
      </w:pPr>
      <w:r w:rsidRPr="006327F8">
        <w:rPr>
          <w:i/>
          <w:iCs/>
        </w:rPr>
        <w:t>Blood and Marrow Transplant Clinic (BMTC)</w:t>
      </w:r>
    </w:p>
    <w:p w14:paraId="7CF659A6" w14:textId="77777777" w:rsidR="00976622" w:rsidRPr="006327F8" w:rsidRDefault="00976622" w:rsidP="00976622">
      <w:pPr>
        <w:pStyle w:val="ListParagraph"/>
        <w:numPr>
          <w:ilvl w:val="0"/>
          <w:numId w:val="2"/>
        </w:numPr>
        <w:rPr>
          <w:i/>
          <w:iCs/>
        </w:rPr>
      </w:pPr>
      <w:r w:rsidRPr="006327F8">
        <w:rPr>
          <w:i/>
          <w:iCs/>
        </w:rPr>
        <w:t>Genetics Clinic (GCMK)</w:t>
      </w:r>
    </w:p>
    <w:p w14:paraId="3473F5C3" w14:textId="11DA2600" w:rsidR="00976622" w:rsidRPr="006327F8" w:rsidRDefault="00976622" w:rsidP="00976622">
      <w:pPr>
        <w:pStyle w:val="ListParagraph"/>
        <w:numPr>
          <w:ilvl w:val="0"/>
          <w:numId w:val="2"/>
        </w:numPr>
        <w:rPr>
          <w:i/>
          <w:iCs/>
        </w:rPr>
      </w:pPr>
      <w:r w:rsidRPr="006327F8">
        <w:rPr>
          <w:i/>
          <w:iCs/>
        </w:rPr>
        <w:t>Senior Adult Clinic (SRAD)</w:t>
      </w:r>
    </w:p>
    <w:p w14:paraId="3C1C0D61" w14:textId="77777777" w:rsidR="00976622" w:rsidRDefault="00976622" w:rsidP="00976622">
      <w:pPr>
        <w:rPr>
          <w:sz w:val="18"/>
          <w:szCs w:val="18"/>
        </w:rPr>
      </w:pPr>
    </w:p>
    <w:p w14:paraId="1F345E5D" w14:textId="77777777" w:rsidR="00976622" w:rsidRDefault="00976622" w:rsidP="00976622">
      <w:pPr>
        <w:rPr>
          <w:sz w:val="18"/>
          <w:szCs w:val="18"/>
        </w:rPr>
      </w:pPr>
    </w:p>
    <w:p w14:paraId="4CE6127C" w14:textId="1B3A1B41" w:rsidR="00976622" w:rsidRPr="00976622" w:rsidRDefault="00976622" w:rsidP="00976622">
      <w:pPr>
        <w:rPr>
          <w:sz w:val="18"/>
          <w:szCs w:val="18"/>
        </w:rPr>
        <w:sectPr w:rsidR="00976622" w:rsidRPr="00976622" w:rsidSect="00C756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8250AE" w14:textId="77777777" w:rsidR="00B256E5" w:rsidRDefault="00B256E5">
      <w:pPr>
        <w:rPr>
          <w:rFonts w:asciiTheme="majorHAnsi" w:eastAsiaTheme="majorEastAsia" w:hAnsiTheme="majorHAnsi" w:cstheme="majorBidi"/>
          <w:color w:val="2F5496" w:themeColor="accent1" w:themeShade="BF"/>
          <w:sz w:val="18"/>
          <w:szCs w:val="18"/>
        </w:rPr>
      </w:pPr>
      <w:r>
        <w:rPr>
          <w:sz w:val="18"/>
          <w:szCs w:val="18"/>
        </w:rPr>
        <w:br w:type="page"/>
      </w:r>
    </w:p>
    <w:p w14:paraId="53514F4F" w14:textId="77777777" w:rsidR="00F31D04" w:rsidRDefault="00F31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FC47158" w14:textId="7FFE2152" w:rsidR="001B0126" w:rsidRDefault="00736620" w:rsidP="0029763E">
      <w:pPr>
        <w:pStyle w:val="Heading1"/>
      </w:pPr>
      <w:r w:rsidRPr="001B0126">
        <w:lastRenderedPageBreak/>
        <w:t>Full Table O</w:t>
      </w:r>
      <w:r w:rsidR="00DC7675" w:rsidRPr="001B0126">
        <w:t>dds Ratio</w:t>
      </w:r>
      <w:r w:rsidRPr="001B0126">
        <w:t xml:space="preserve"> Estimates &amp; Confidence Intervals</w:t>
      </w:r>
    </w:p>
    <w:p w14:paraId="38C5EEFA" w14:textId="77777777" w:rsidR="00B5731C" w:rsidRPr="00B5731C" w:rsidRDefault="00B5731C" w:rsidP="00B5731C"/>
    <w:tbl>
      <w:tblPr>
        <w:tblW w:w="10907" w:type="dxa"/>
        <w:tblInd w:w="-589" w:type="dxa"/>
        <w:tblLayout w:type="fixed"/>
        <w:tblLook w:val="04A0" w:firstRow="1" w:lastRow="0" w:firstColumn="1" w:lastColumn="0" w:noHBand="0" w:noVBand="1"/>
      </w:tblPr>
      <w:tblGrid>
        <w:gridCol w:w="3715"/>
        <w:gridCol w:w="1667"/>
        <w:gridCol w:w="1944"/>
        <w:gridCol w:w="1911"/>
        <w:gridCol w:w="1670"/>
      </w:tblGrid>
      <w:tr w:rsidR="0029763E" w:rsidRPr="00C7562C" w14:paraId="28902313" w14:textId="77777777" w:rsidTr="00376E5A">
        <w:trPr>
          <w:trHeight w:val="311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bottom"/>
          </w:tcPr>
          <w:p w14:paraId="4C2E2955" w14:textId="77777777" w:rsidR="0029763E" w:rsidRPr="0029763E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1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</w:tcPr>
          <w:p w14:paraId="08C5D52F" w14:textId="388AB8A6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Odds Estimates (95% Confidence Interval)</w:t>
            </w:r>
          </w:p>
        </w:tc>
      </w:tr>
      <w:tr w:rsidR="0029763E" w:rsidRPr="00C7562C" w14:paraId="0451B588" w14:textId="77777777" w:rsidTr="00376E5A">
        <w:trPr>
          <w:trHeight w:val="311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bottom"/>
          </w:tcPr>
          <w:p w14:paraId="359E35CC" w14:textId="01F00EF3" w:rsidR="0029763E" w:rsidRPr="0029763E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035977DE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Age &lt;65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1A582B1C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ABMO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437A9223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50450EB2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Male</w:t>
            </w:r>
          </w:p>
        </w:tc>
      </w:tr>
      <w:tr w:rsidR="0029763E" w:rsidRPr="00B256E5" w14:paraId="29ACECDD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42D0" w14:textId="58C785F9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ICE-T 3C Treatment Center (3 CT)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77F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 (0.01,3.51)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1A1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(0,2.26)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A1E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0.65 (0.01,38.95)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ECD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1.67 (0.1,28.88)</w:t>
            </w:r>
          </w:p>
        </w:tc>
      </w:tr>
      <w:tr w:rsidR="0029763E" w:rsidRPr="00B256E5" w14:paraId="045BF4E5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2351" w14:textId="2B09E86C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Ambulatory Internal Medicine Clinic (AIM)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5A5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 (0.14,5.72)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303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1.74 (0.12,24.9)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96C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3.68 (0.16,84.7)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3B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1.47 (0.25,8.59)</w:t>
            </w:r>
          </w:p>
        </w:tc>
      </w:tr>
      <w:tr w:rsidR="0029763E" w:rsidRPr="00B256E5" w14:paraId="36AB29F8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91D5" w14:textId="73B9BD56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Apheresis Unit (APHR)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D0D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0.17 (0.02,1.25)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3C999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0.05 (0,0.99)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AD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1.95 (0.08,48.71)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0F9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 (0.01,1.37)</w:t>
            </w:r>
          </w:p>
        </w:tc>
      </w:tr>
      <w:tr w:rsidR="0029763E" w:rsidRPr="00B256E5" w14:paraId="4E2A2A97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9CCC" w14:textId="47E12DD7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Behavioral Medicine Clinic (BEHM)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8C1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 (0.08,1.81)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57F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 (0.01,3.91)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F10B8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605.3 (20.7,17702.93)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E6E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 (0.11,2.23)</w:t>
            </w:r>
          </w:p>
        </w:tc>
      </w:tr>
      <w:tr w:rsidR="0029763E" w:rsidRPr="00B256E5" w14:paraId="0C66B468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EF765" w14:textId="69EB10CD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and Marrow Transplant Clinic (BMTC)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6A0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1.32 (0.57,3.09)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79874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0.15 (0.03,0.68)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4DC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1.02 (0.23,4.49)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4C4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 (0.27,1.6)</w:t>
            </w:r>
          </w:p>
        </w:tc>
      </w:tr>
      <w:tr w:rsidR="0029763E" w:rsidRPr="00B256E5" w14:paraId="05601879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FCD3" w14:textId="1B594ACA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Comprehensive Breast Clinic (BRMK)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74C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 (0.49,1.18)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09D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 (0.2,1.2)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D67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1.29 (0.6,2.75)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916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 (0.25,36.37)</w:t>
            </w:r>
          </w:p>
        </w:tc>
      </w:tr>
      <w:tr w:rsidR="0029763E" w:rsidRPr="00B256E5" w14:paraId="62BCEBA5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5A25" w14:textId="786A9828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Blood Transfusion Unit (BTU)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445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0.65 (0.08,5.65)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42B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1.33 (0.03,53.1)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B45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 (0.05,29.74)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D0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1.37 (0.21,9.12)</w:t>
            </w:r>
          </w:p>
        </w:tc>
      </w:tr>
      <w:tr w:rsidR="0029763E" w:rsidRPr="00B256E5" w14:paraId="0B5F19F7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F293" w14:textId="661D3987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Cardio-Oncology Clinic (COMK)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1E2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0.83 (0.08,8.45)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24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0.36 (0.01,11.51)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7E7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2.17 (0.12,39.85)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7B9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1.06 (0.14,8.03)</w:t>
            </w:r>
          </w:p>
        </w:tc>
      </w:tr>
      <w:tr w:rsidR="0029763E" w:rsidRPr="00B256E5" w14:paraId="24731A32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3267" w14:textId="2A0028EF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Clinical Research Unit (CRMK)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69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(0.02,6.86)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517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1.69 (0,3662.78)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B8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0.78 (0,744.89)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647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 (0.03,28.31)</w:t>
            </w:r>
          </w:p>
        </w:tc>
      </w:tr>
      <w:tr w:rsidR="0029763E" w:rsidRPr="00B256E5" w14:paraId="66FBBB1E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0DC6" w14:textId="2241F1C1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Clinical Research Unit (CRU)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241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1.14 (0.31,4.14)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A13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0.63 (0.06,6.96)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85E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(0.01,1.39)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E19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 (0.26,3.4)</w:t>
            </w:r>
          </w:p>
        </w:tc>
      </w:tr>
      <w:tr w:rsidR="0029763E" w:rsidRPr="00B256E5" w14:paraId="33A8EA74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F327" w14:textId="0D836C85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Cutaneous Clinic (CUMK)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15B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 (0.68,1.79)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4F9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 (0.05,2.95)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527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0.61 (0.2,1.85)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7E0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1.01 (0.64,1.58)</w:t>
            </w:r>
          </w:p>
        </w:tc>
      </w:tr>
      <w:tr w:rsidR="0029763E" w:rsidRPr="00B256E5" w14:paraId="0FDB6DE5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E971" w14:textId="035377E2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Clinic (CWIP)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7721A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0.58 (0.34,0.99)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166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 (0.42,3.2)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79D6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2.01 (0.85,4.78)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C95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1.06 (0.58,1.92)</w:t>
            </w:r>
          </w:p>
        </w:tc>
      </w:tr>
      <w:tr w:rsidR="0029763E" w:rsidRPr="00B256E5" w14:paraId="7E3FCEDE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C840" w14:textId="6608DD31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Endocrine Clinic (ECRI)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E7A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1.01 (0.4,2.55)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CF1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0.67 (0.1,4.57)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05B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1.45 (0.33,6.26)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2AB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1.31 (0.48,3.57)</w:t>
            </w:r>
          </w:p>
        </w:tc>
      </w:tr>
      <w:tr w:rsidR="0029763E" w:rsidRPr="00B256E5" w14:paraId="31CC618C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3A7" w14:textId="7F778DDD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Genetics Clinic (GCMK)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7905FF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0.01 (0,0.13)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BD6F4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0.03 (0,0.69)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32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1.03 (0.11,9.94)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419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1.27 (0.22,7.22)</w:t>
            </w:r>
          </w:p>
        </w:tc>
      </w:tr>
      <w:tr w:rsidR="0029763E" w:rsidRPr="00B256E5" w14:paraId="09884126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3BA5" w14:textId="5C17C181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GeneHome</w:t>
            </w:r>
            <w:proofErr w:type="spellEnd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(GHMK)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056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 (0.01,23.95)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A2528" w14:textId="451C859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All responses Top Box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1AF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 (0,510.1)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433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1.41 (0.01,146.41)</w:t>
            </w:r>
          </w:p>
        </w:tc>
      </w:tr>
      <w:tr w:rsidR="0029763E" w:rsidRPr="00B256E5" w14:paraId="1FB86C51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9B42" w14:textId="151A9B31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Gastrointestinal Oncology Clinic (GI)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ACD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0.84 (0.52,1.37)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DED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0.72 (0.28,1.9)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655C2E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0.41 (0.17,0.98)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63C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 (0.59,1.54)</w:t>
            </w:r>
          </w:p>
        </w:tc>
      </w:tr>
      <w:tr w:rsidR="0029763E" w:rsidRPr="00B256E5" w14:paraId="22B03E8F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8C11" w14:textId="49FA5D6F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Genitourinary Clinic (GU)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590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1.07 (0.69,1.68)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2BB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0.81 (0.32,2.05)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1610A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2.64 (1.15,6.03)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7B7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1.02 (0.62,1.69)</w:t>
            </w:r>
          </w:p>
        </w:tc>
      </w:tr>
      <w:tr w:rsidR="0029763E" w:rsidRPr="00B256E5" w14:paraId="79FAE9A9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124D" w14:textId="24DD48E3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Head and Neck Clinic (H-N)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D34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 (0.34,1.48)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2B5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 (0.05,1.73)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271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1.84 (0.49,6.95)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1EB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1.18 (0.56,2.48)</w:t>
            </w:r>
          </w:p>
        </w:tc>
      </w:tr>
      <w:tr w:rsidR="0029763E" w:rsidRPr="00B256E5" w14:paraId="33C6123C" w14:textId="77777777" w:rsidTr="00376E5A">
        <w:trPr>
          <w:trHeight w:val="311"/>
        </w:trPr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C55D" w14:textId="76D09D53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Hematology Clinic (HEMM)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250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1.12 (0.71,1.75)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B97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0.68 (0.29,1.59)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D2F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 (0.58,2.32)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0CB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1.25 (0.84,1.87)</w:t>
            </w:r>
          </w:p>
        </w:tc>
      </w:tr>
    </w:tbl>
    <w:p w14:paraId="73E3522C" w14:textId="5E0698F9" w:rsidR="00C7562C" w:rsidRDefault="00C7562C">
      <w:r>
        <w:br w:type="page"/>
      </w:r>
    </w:p>
    <w:p w14:paraId="3E2764FE" w14:textId="1C6DC10B" w:rsidR="00C7562C" w:rsidRDefault="00C7562C"/>
    <w:p w14:paraId="39937CC4" w14:textId="77777777" w:rsidR="00B5731C" w:rsidRDefault="00B5731C"/>
    <w:tbl>
      <w:tblPr>
        <w:tblW w:w="10990" w:type="dxa"/>
        <w:jc w:val="center"/>
        <w:tblLook w:val="04A0" w:firstRow="1" w:lastRow="0" w:firstColumn="1" w:lastColumn="0" w:noHBand="0" w:noVBand="1"/>
      </w:tblPr>
      <w:tblGrid>
        <w:gridCol w:w="3729"/>
        <w:gridCol w:w="1461"/>
        <w:gridCol w:w="2182"/>
        <w:gridCol w:w="1945"/>
        <w:gridCol w:w="1673"/>
      </w:tblGrid>
      <w:tr w:rsidR="0029763E" w:rsidRPr="0029763E" w14:paraId="6648F485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</w:tcPr>
          <w:p w14:paraId="0E3522D3" w14:textId="77777777" w:rsidR="0029763E" w:rsidRPr="0029763E" w:rsidRDefault="0029763E" w:rsidP="0016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</w:tcPr>
          <w:p w14:paraId="5DC4E9C4" w14:textId="03A335D0" w:rsidR="0029763E" w:rsidRPr="0029763E" w:rsidRDefault="0029763E" w:rsidP="0016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Odds Estimates (95% Confidence Interval)</w:t>
            </w:r>
          </w:p>
        </w:tc>
      </w:tr>
      <w:tr w:rsidR="0029763E" w:rsidRPr="0029763E" w14:paraId="3961D5A8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bottom"/>
          </w:tcPr>
          <w:p w14:paraId="4D06ECB9" w14:textId="07656B02" w:rsidR="0029763E" w:rsidRPr="0029763E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Clinic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0CB219B7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Age &lt;65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279126A6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ABMO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06846561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Hispanic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noWrap/>
            <w:vAlign w:val="bottom"/>
            <w:hideMark/>
          </w:tcPr>
          <w:p w14:paraId="2032011F" w14:textId="77777777" w:rsidR="0029763E" w:rsidRPr="0029763E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29763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Male</w:t>
            </w:r>
          </w:p>
        </w:tc>
      </w:tr>
      <w:tr w:rsidR="0029763E" w:rsidRPr="00B256E5" w14:paraId="2C1C8320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BBC4" w14:textId="44863588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Infusion Center (ICIP)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1D8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 (0.15,1.48)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014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 (0.13,17.73)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072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 (0.11,5.3)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BDB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1.23 (0.41,3.68)</w:t>
            </w:r>
          </w:p>
        </w:tc>
      </w:tr>
      <w:tr w:rsidR="0029763E" w:rsidRPr="00B256E5" w14:paraId="2053D504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2601" w14:textId="6BC07BA5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McKinley Infusion Center (IFMK)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940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0.88 (0.39,1.98)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FD4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0.35 (0.07,1.68)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2E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1.48 (0.38,5.72)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0E4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1.66 (0.73,3.78)</w:t>
            </w:r>
          </w:p>
        </w:tc>
      </w:tr>
      <w:tr w:rsidR="0029763E" w:rsidRPr="00B256E5" w14:paraId="38FD8A21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41E2" w14:textId="52544F98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Infusion Center (INFU)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C73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1.14 (0.62,2.09)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A9E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0.35 (0.11,1.07)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C93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1.32 (0.47,3.66)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B7F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1.44 (0.79,2.63)</w:t>
            </w:r>
          </w:p>
        </w:tc>
      </w:tr>
      <w:tr w:rsidR="0029763E" w:rsidRPr="00B256E5" w14:paraId="366ADE58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4CC7" w14:textId="077E4E5E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Interventional Pain Clinic (ITPN)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AFA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2.65 (0.27,25.59)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48A16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651.03 (4.84,87660.58)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FE9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0.83 (0.02,33.01)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427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 (0.42,38.15)</w:t>
            </w:r>
          </w:p>
        </w:tc>
      </w:tr>
      <w:tr w:rsidR="0029763E" w:rsidRPr="00B256E5" w14:paraId="3B645EA3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C213" w14:textId="13911EF4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Magnolia Multi-Specialty Clinic (MMSC)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6E0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 (0.08,5.01)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2CE6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 (0,2.18)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C2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0.67 (0.02,23.82)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33E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1.82 (0.31,10.75)</w:t>
            </w:r>
          </w:p>
        </w:tc>
      </w:tr>
      <w:tr w:rsidR="0029763E" w:rsidRPr="00B256E5" w14:paraId="0A453EDC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46E8" w14:textId="415D2FF6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NeuroOncology</w:t>
            </w:r>
            <w:proofErr w:type="spellEnd"/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Clinic (NEUR)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DCD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1.33 (0.54,3.24)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441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 (0.1,6.11)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858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3.67 (0.78,17.32)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3B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1.42 (0.51,3.99)</w:t>
            </w:r>
          </w:p>
        </w:tc>
      </w:tr>
      <w:tr w:rsidR="0029763E" w:rsidRPr="00B256E5" w14:paraId="446FFAAC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CF8E" w14:textId="2F05C87C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Plastic Surgery Center (PLMK)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06E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 (0.18,1.45)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B43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 (0.09,6.75)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6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 (0.11,2.95)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5CB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1.13 (0.17,7.67)</w:t>
            </w:r>
          </w:p>
        </w:tc>
      </w:tr>
      <w:tr w:rsidR="0029763E" w:rsidRPr="00B256E5" w14:paraId="00A557AF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AF59" w14:textId="0BE907E7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at International Radiation Therapy (ROIP)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473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 (0.07,3.75)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E63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 (0.01,30.25)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66E43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164.92 (2.38,11432.21)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AF3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 (0.18,9.48)</w:t>
            </w:r>
          </w:p>
        </w:tc>
      </w:tr>
      <w:tr w:rsidR="0029763E" w:rsidRPr="00B256E5" w14:paraId="4267EA1C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8107" w14:textId="05E0EE01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Sarcoma Clinic (SARC)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F78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1.57 (0.7,3.52)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70F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 (0.16,3.12)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6A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 (0.14,2.05)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BD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1.38 (0.63,3.01)</w:t>
            </w:r>
          </w:p>
        </w:tc>
      </w:tr>
      <w:tr w:rsidR="0029763E" w:rsidRPr="00B256E5" w14:paraId="15E407AF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8F38" w14:textId="211761F9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Senior Adult Clinic (SRAD)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EC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1.99 (0.12,33.71)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A2F19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0.09 (0.01,0.69)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236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0.87 (0.12,6.4)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DFB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 (0.31,1.89)</w:t>
            </w:r>
          </w:p>
        </w:tc>
      </w:tr>
      <w:tr w:rsidR="0029763E" w:rsidRPr="00B256E5" w14:paraId="0F4949F4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8AB6" w14:textId="19165D7C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Supportive Care Medicine Clinic (SUPP)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500A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(0.2,4.86)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489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 (0.02,9.68)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316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3.38 (0.14,79.13)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1BE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0.57 (0.09,3.44)</w:t>
            </w:r>
          </w:p>
        </w:tc>
      </w:tr>
      <w:tr w:rsidR="0029763E" w:rsidRPr="00B256E5" w14:paraId="32DF080E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1A2E" w14:textId="0A0D113A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Survivorship Clinic (SURV)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BA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1.07 (0.25,4.48)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2142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0.55 (0.08,3.95)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A218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0.36 (0.04,3.18)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204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1.98 (0.31,12.5)</w:t>
            </w:r>
          </w:p>
        </w:tc>
      </w:tr>
      <w:tr w:rsidR="0029763E" w:rsidRPr="00B256E5" w14:paraId="71854073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BB23" w14:textId="325A93DF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Thoracic Clinic (THNE)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8A4A8F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2.04 (1.11,3.74)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55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 (0.13,1.88)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63B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(0.13,1.13)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1701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0.63 (0.35,1.13)</w:t>
            </w:r>
          </w:p>
        </w:tc>
      </w:tr>
      <w:tr w:rsidR="0029763E" w:rsidRPr="00B256E5" w14:paraId="50A8108D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1E91" w14:textId="57E79585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Clinic (WCCL)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E1D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0.87 (0.39,1.94)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AB19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(0.21,3.74)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C35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1.43 (0.4,5.16)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C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 (0.44,2.15)</w:t>
            </w:r>
          </w:p>
        </w:tc>
      </w:tr>
      <w:tr w:rsidR="0029763E" w:rsidRPr="00B256E5" w14:paraId="2FA3E0FD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1A4C" w14:textId="6A600267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Infusion Center (WCIC)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4A7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 (0.14,1.82)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4444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 (0.13,11.05)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5C5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1.26 (0.18,8.73)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C427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 (0.18,1.93)</w:t>
            </w:r>
          </w:p>
        </w:tc>
      </w:tr>
      <w:tr w:rsidR="0029763E" w:rsidRPr="00B256E5" w14:paraId="5E51D417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BB59" w14:textId="004929A0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Moffitt Wesley Chapel Radiation (WCRA)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63E7C6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1.8 (1.79,1.8)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4C0E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56.06 (0.1,32835.33)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D5869C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1.07 (1.07,1.08)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99DA20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1.85 (1.84,1.85)</w:t>
            </w:r>
          </w:p>
        </w:tc>
      </w:tr>
      <w:tr w:rsidR="0029763E" w:rsidRPr="00B256E5" w14:paraId="7F6EFF87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56AB" w14:textId="11CE8A70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Women's Oncology-GYN Clinic (WDC)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61AE" w14:textId="66B3FB82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 (0.18,1.15)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B1BE4" w14:textId="2793A880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1.79 (0.33,9.80)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BED7" w14:textId="0CB79E95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1.83 (0.44,1.67)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C6AFCC0" w14:textId="676DC3FB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All female patients</w:t>
            </w:r>
          </w:p>
        </w:tc>
      </w:tr>
      <w:tr w:rsidR="0029763E" w:rsidRPr="00B256E5" w14:paraId="06817438" w14:textId="77777777" w:rsidTr="00B5731C">
        <w:trPr>
          <w:trHeight w:val="300"/>
          <w:jc w:val="center"/>
        </w:trPr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79EE" w14:textId="3BA19DB7" w:rsidR="0029763E" w:rsidRPr="00B256E5" w:rsidRDefault="0029763E" w:rsidP="00297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Radiation Therapy Clinic (XRT)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F73B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0.94 (0.59,1.52)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4FCD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 (0.37,2.28)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3C40" w14:textId="21C48F3B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 (0.38,2.18)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2663" w14:textId="77777777" w:rsidR="0029763E" w:rsidRPr="00B256E5" w:rsidRDefault="0029763E" w:rsidP="00297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56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1.52 (0.95,2.44)</w:t>
            </w:r>
          </w:p>
        </w:tc>
      </w:tr>
    </w:tbl>
    <w:p w14:paraId="4A268FB3" w14:textId="77777777" w:rsidR="00941646" w:rsidRPr="00B256E5" w:rsidRDefault="00941646" w:rsidP="006C1469">
      <w:pPr>
        <w:rPr>
          <w:sz w:val="18"/>
          <w:szCs w:val="18"/>
        </w:rPr>
      </w:pPr>
    </w:p>
    <w:sectPr w:rsidR="00941646" w:rsidRPr="00B256E5" w:rsidSect="00C75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DA0"/>
    <w:multiLevelType w:val="hybridMultilevel"/>
    <w:tmpl w:val="C178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0253"/>
    <w:multiLevelType w:val="hybridMultilevel"/>
    <w:tmpl w:val="C136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F0106"/>
    <w:multiLevelType w:val="hybridMultilevel"/>
    <w:tmpl w:val="976A2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829567">
    <w:abstractNumId w:val="0"/>
  </w:num>
  <w:num w:numId="2" w16cid:durableId="110827579">
    <w:abstractNumId w:val="1"/>
  </w:num>
  <w:num w:numId="3" w16cid:durableId="9903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D4"/>
    <w:rsid w:val="000267B7"/>
    <w:rsid w:val="000C7975"/>
    <w:rsid w:val="000F4334"/>
    <w:rsid w:val="00157A46"/>
    <w:rsid w:val="001B0126"/>
    <w:rsid w:val="001C714D"/>
    <w:rsid w:val="001E1E42"/>
    <w:rsid w:val="002178D4"/>
    <w:rsid w:val="0023295C"/>
    <w:rsid w:val="002442E6"/>
    <w:rsid w:val="0029763E"/>
    <w:rsid w:val="002C4B7A"/>
    <w:rsid w:val="00321AE9"/>
    <w:rsid w:val="00346950"/>
    <w:rsid w:val="003607D4"/>
    <w:rsid w:val="00371EBC"/>
    <w:rsid w:val="00376E5A"/>
    <w:rsid w:val="00387A4E"/>
    <w:rsid w:val="003B5E3F"/>
    <w:rsid w:val="004062FC"/>
    <w:rsid w:val="00455B36"/>
    <w:rsid w:val="0049468B"/>
    <w:rsid w:val="004C5887"/>
    <w:rsid w:val="004D430F"/>
    <w:rsid w:val="004D71AF"/>
    <w:rsid w:val="004F1838"/>
    <w:rsid w:val="005077B3"/>
    <w:rsid w:val="00523998"/>
    <w:rsid w:val="005605A0"/>
    <w:rsid w:val="0056379D"/>
    <w:rsid w:val="006327F8"/>
    <w:rsid w:val="00667952"/>
    <w:rsid w:val="0067740F"/>
    <w:rsid w:val="00696F9E"/>
    <w:rsid w:val="006C1469"/>
    <w:rsid w:val="006C7B4A"/>
    <w:rsid w:val="00736620"/>
    <w:rsid w:val="00761406"/>
    <w:rsid w:val="007C384A"/>
    <w:rsid w:val="007D1899"/>
    <w:rsid w:val="00826D95"/>
    <w:rsid w:val="008901F7"/>
    <w:rsid w:val="008C11AC"/>
    <w:rsid w:val="008E4A49"/>
    <w:rsid w:val="008F73F7"/>
    <w:rsid w:val="00906852"/>
    <w:rsid w:val="00941646"/>
    <w:rsid w:val="00972C87"/>
    <w:rsid w:val="00976622"/>
    <w:rsid w:val="00A314BD"/>
    <w:rsid w:val="00A8213F"/>
    <w:rsid w:val="00AD531F"/>
    <w:rsid w:val="00AE4A7E"/>
    <w:rsid w:val="00B03A1C"/>
    <w:rsid w:val="00B153AD"/>
    <w:rsid w:val="00B256E5"/>
    <w:rsid w:val="00B34D68"/>
    <w:rsid w:val="00B5731C"/>
    <w:rsid w:val="00B857F9"/>
    <w:rsid w:val="00BC7A2F"/>
    <w:rsid w:val="00C64C77"/>
    <w:rsid w:val="00C7562C"/>
    <w:rsid w:val="00CD486D"/>
    <w:rsid w:val="00D12EFB"/>
    <w:rsid w:val="00D218F2"/>
    <w:rsid w:val="00D43625"/>
    <w:rsid w:val="00DB5073"/>
    <w:rsid w:val="00DC7675"/>
    <w:rsid w:val="00E608AD"/>
    <w:rsid w:val="00E93FC5"/>
    <w:rsid w:val="00ED0367"/>
    <w:rsid w:val="00F31D04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82B43"/>
  <w15:docId w15:val="{3D6F79E2-75A6-465E-9074-D72AE5FC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22"/>
  </w:style>
  <w:style w:type="paragraph" w:styleId="Heading1">
    <w:name w:val="heading 1"/>
    <w:basedOn w:val="Normal"/>
    <w:next w:val="Normal"/>
    <w:link w:val="Heading1Char"/>
    <w:uiPriority w:val="9"/>
    <w:qFormat/>
    <w:rsid w:val="0073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50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346950"/>
  </w:style>
  <w:style w:type="character" w:customStyle="1" w:styleId="gnvwddmdc4b">
    <w:name w:val="gnvwddmdc4b"/>
    <w:basedOn w:val="DefaultParagraphFont"/>
    <w:rsid w:val="00B34D68"/>
  </w:style>
  <w:style w:type="character" w:customStyle="1" w:styleId="gnvwddmdb3b">
    <w:name w:val="gnvwddmdb3b"/>
    <w:basedOn w:val="DefaultParagraphFont"/>
    <w:rsid w:val="00B34D68"/>
  </w:style>
  <w:style w:type="paragraph" w:styleId="ListParagraph">
    <w:name w:val="List Paragraph"/>
    <w:basedOn w:val="Normal"/>
    <w:uiPriority w:val="34"/>
    <w:qFormat/>
    <w:rsid w:val="00C64C77"/>
    <w:pPr>
      <w:ind w:left="720"/>
      <w:contextualSpacing/>
    </w:pPr>
  </w:style>
  <w:style w:type="table" w:styleId="TableGrid">
    <w:name w:val="Table Grid"/>
    <w:basedOn w:val="TableNormal"/>
    <w:uiPriority w:val="39"/>
    <w:rsid w:val="002C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79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6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7CA-AAF6-43D0-98A2-9DA9A912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10</Pages>
  <Words>1726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Deniece M</dc:creator>
  <cp:keywords/>
  <dc:description/>
  <cp:lastModifiedBy>Williams, Deniece M</cp:lastModifiedBy>
  <cp:revision>9</cp:revision>
  <cp:lastPrinted>2024-04-10T12:29:00Z</cp:lastPrinted>
  <dcterms:created xsi:type="dcterms:W3CDTF">2024-04-09T19:11:00Z</dcterms:created>
  <dcterms:modified xsi:type="dcterms:W3CDTF">2024-04-10T15:16:00Z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367cb542-33e9-46b9-8345-90e5d52097b1</vt:lpwstr>
  </property>
</Properties>
</file>