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Sir James Butler of Ormond and the Jennings Descent via McMurrough and O’Neill Lines</w:t>
      </w:r>
    </w:p>
    <w:p>
      <w:r>
        <w:t>Prepared for: Denise Marguerite Jennings</w:t>
      </w:r>
    </w:p>
    <w:p/>
    <w:p>
      <w:pPr>
        <w:pStyle w:val="Heading1"/>
      </w:pPr>
      <w:r>
        <w:t>Lineage Thread Overview</w:t>
      </w:r>
    </w:p>
    <w:p>
      <w:r>
        <w:t>This descent traces the Jennings family line from Gormfhlaith Eleanor McMurrough FitzGerald and her sister Sow Sara Sabine Kavanagh, connected through their marriages to the noble houses of Butler and O'Neill. Through this thread, the Jennings family inherits direct convergence from the Irish dynastic rulers of Leinster and Ulster, as well as intermarriages with the House of FitzGerald and the Knights of the Garter.</w:t>
      </w:r>
    </w:p>
    <w:p>
      <w:pPr>
        <w:pStyle w:val="Heading1"/>
      </w:pPr>
      <w:r>
        <w:t>Confirmed Descent Line</w:t>
      </w:r>
    </w:p>
    <w:tbl>
      <w:tblPr>
        <w:tblW w:type="auto" w:w="0"/>
        <w:tblLook w:firstColumn="1" w:firstRow="1" w:lastColumn="0" w:lastRow="0" w:noHBand="0" w:noVBand="1" w:val="04A0"/>
      </w:tblPr>
      <w:tblGrid>
        <w:gridCol w:w="2880"/>
        <w:gridCol w:w="2880"/>
        <w:gridCol w:w="2880"/>
      </w:tblGrid>
      <w:tr>
        <w:tc>
          <w:tcPr>
            <w:tcW w:type="dxa" w:w="2880"/>
          </w:tcPr>
          <w:p>
            <w:r>
              <w:t>Generation</w:t>
            </w:r>
          </w:p>
        </w:tc>
        <w:tc>
          <w:tcPr>
            <w:tcW w:type="dxa" w:w="2880"/>
          </w:tcPr>
          <w:p>
            <w:r>
              <w:t>Name</w:t>
            </w:r>
          </w:p>
        </w:tc>
        <w:tc>
          <w:tcPr>
            <w:tcW w:type="dxa" w:w="2880"/>
          </w:tcPr>
          <w:p>
            <w:r>
              <w:t>Lifespan</w:t>
            </w:r>
          </w:p>
        </w:tc>
      </w:tr>
      <w:tr>
        <w:tc>
          <w:tcPr>
            <w:tcW w:type="dxa" w:w="2880"/>
          </w:tcPr>
          <w:p>
            <w:r>
              <w:t>DGGM9</w:t>
            </w:r>
          </w:p>
        </w:tc>
        <w:tc>
          <w:tcPr>
            <w:tcW w:type="dxa" w:w="2880"/>
          </w:tcPr>
          <w:p>
            <w:r>
              <w:t>Gormfhlaith Eleanor McMurrough FitzGerald</w:t>
            </w:r>
          </w:p>
        </w:tc>
        <w:tc>
          <w:tcPr>
            <w:tcW w:type="dxa" w:w="2880"/>
          </w:tcPr>
          <w:p>
            <w:r>
              <w:t>1440–1497</w:t>
            </w:r>
          </w:p>
        </w:tc>
      </w:tr>
      <w:tr>
        <w:tc>
          <w:tcPr>
            <w:tcW w:type="dxa" w:w="2880"/>
          </w:tcPr>
          <w:p>
            <w:r>
              <w:t>DGGF8</w:t>
            </w:r>
          </w:p>
        </w:tc>
        <w:tc>
          <w:tcPr>
            <w:tcW w:type="dxa" w:w="2880"/>
          </w:tcPr>
          <w:p>
            <w:r>
              <w:t>Con Mor O’Neill</w:t>
            </w:r>
          </w:p>
        </w:tc>
        <w:tc>
          <w:tcPr>
            <w:tcW w:type="dxa" w:w="2880"/>
          </w:tcPr>
          <w:p>
            <w:r>
              <w:t>1465–1512</w:t>
            </w:r>
          </w:p>
        </w:tc>
      </w:tr>
      <w:tr>
        <w:tc>
          <w:tcPr>
            <w:tcW w:type="dxa" w:w="2880"/>
          </w:tcPr>
          <w:p>
            <w:r>
              <w:t>DGGF7</w:t>
            </w:r>
          </w:p>
        </w:tc>
        <w:tc>
          <w:tcPr>
            <w:tcW w:type="dxa" w:w="2880"/>
          </w:tcPr>
          <w:p>
            <w:r>
              <w:t>Con O’Neill</w:t>
            </w:r>
          </w:p>
        </w:tc>
        <w:tc>
          <w:tcPr>
            <w:tcW w:type="dxa" w:w="2880"/>
          </w:tcPr>
          <w:p>
            <w:r>
              <w:t>b. 1484</w:t>
            </w:r>
          </w:p>
        </w:tc>
      </w:tr>
      <w:tr>
        <w:tc>
          <w:tcPr>
            <w:tcW w:type="dxa" w:w="2880"/>
          </w:tcPr>
          <w:p>
            <w:r>
              <w:t>DGGF6</w:t>
            </w:r>
          </w:p>
        </w:tc>
        <w:tc>
          <w:tcPr>
            <w:tcW w:type="dxa" w:w="2880"/>
          </w:tcPr>
          <w:p>
            <w:r>
              <w:t>Felix II Ó Neill-Clannabuidhe (Malplaquet death)</w:t>
            </w:r>
          </w:p>
        </w:tc>
        <w:tc>
          <w:tcPr>
            <w:tcW w:type="dxa" w:w="2880"/>
          </w:tcPr>
          <w:p>
            <w:r>
              <w:t>1670–1709</w:t>
            </w:r>
          </w:p>
        </w:tc>
      </w:tr>
      <w:tr>
        <w:tc>
          <w:tcPr>
            <w:tcW w:type="dxa" w:w="2880"/>
          </w:tcPr>
          <w:p>
            <w:r>
              <w:t>DGGF5</w:t>
            </w:r>
          </w:p>
        </w:tc>
        <w:tc>
          <w:tcPr>
            <w:tcW w:type="dxa" w:w="2880"/>
          </w:tcPr>
          <w:p>
            <w:r>
              <w:t>Constantine (Con A) O’Neill of Clandeboye</w:t>
            </w:r>
          </w:p>
        </w:tc>
        <w:tc>
          <w:tcPr>
            <w:tcW w:type="dxa" w:w="2880"/>
          </w:tcPr>
          <w:p>
            <w:r>
              <w:t>1690–1760</w:t>
            </w:r>
          </w:p>
        </w:tc>
      </w:tr>
      <w:tr>
        <w:tc>
          <w:tcPr>
            <w:tcW w:type="dxa" w:w="2880"/>
          </w:tcPr>
          <w:p>
            <w:r>
              <w:t>DGGF4</w:t>
            </w:r>
          </w:p>
        </w:tc>
        <w:tc>
          <w:tcPr>
            <w:tcW w:type="dxa" w:w="2880"/>
          </w:tcPr>
          <w:p>
            <w:r>
              <w:t>Sean ‘Joao’ O'Néille-ClannBuidhe</w:t>
            </w:r>
          </w:p>
        </w:tc>
        <w:tc>
          <w:tcPr>
            <w:tcW w:type="dxa" w:w="2880"/>
          </w:tcPr>
          <w:p>
            <w:r>
              <w:t>1710–1788</w:t>
            </w:r>
          </w:p>
        </w:tc>
      </w:tr>
      <w:tr>
        <w:tc>
          <w:tcPr>
            <w:tcW w:type="dxa" w:w="2880"/>
          </w:tcPr>
          <w:p>
            <w:r>
              <w:t>DGGF3</w:t>
            </w:r>
          </w:p>
        </w:tc>
        <w:tc>
          <w:tcPr>
            <w:tcW w:type="dxa" w:w="2880"/>
          </w:tcPr>
          <w:p>
            <w:r>
              <w:t>Cornelius O’Neil</w:t>
            </w:r>
          </w:p>
        </w:tc>
        <w:tc>
          <w:tcPr>
            <w:tcW w:type="dxa" w:w="2880"/>
          </w:tcPr>
          <w:p>
            <w:r>
              <w:t>1780–1874</w:t>
            </w:r>
          </w:p>
        </w:tc>
      </w:tr>
      <w:tr>
        <w:tc>
          <w:tcPr>
            <w:tcW w:type="dxa" w:w="2880"/>
          </w:tcPr>
          <w:p>
            <w:r>
              <w:t>DGGF2</w:t>
            </w:r>
          </w:p>
        </w:tc>
        <w:tc>
          <w:tcPr>
            <w:tcW w:type="dxa" w:w="2880"/>
          </w:tcPr>
          <w:p>
            <w:r>
              <w:t>John O’Neil of Clandeboye Sr.</w:t>
            </w:r>
          </w:p>
        </w:tc>
        <w:tc>
          <w:tcPr>
            <w:tcW w:type="dxa" w:w="2880"/>
          </w:tcPr>
          <w:p>
            <w:r>
              <w:t>1829–1924</w:t>
            </w:r>
          </w:p>
        </w:tc>
      </w:tr>
      <w:tr>
        <w:tc>
          <w:tcPr>
            <w:tcW w:type="dxa" w:w="2880"/>
          </w:tcPr>
          <w:p>
            <w:r>
              <w:t>DGGM1</w:t>
            </w:r>
          </w:p>
        </w:tc>
        <w:tc>
          <w:tcPr>
            <w:tcW w:type="dxa" w:w="2880"/>
          </w:tcPr>
          <w:p>
            <w:r>
              <w:t>Ellen O’Neil</w:t>
            </w:r>
          </w:p>
        </w:tc>
        <w:tc>
          <w:tcPr>
            <w:tcW w:type="dxa" w:w="2880"/>
          </w:tcPr>
          <w:p>
            <w:r>
              <w:t>1868–1918</w:t>
            </w:r>
          </w:p>
        </w:tc>
      </w:tr>
      <w:tr>
        <w:tc>
          <w:tcPr>
            <w:tcW w:type="dxa" w:w="2880"/>
          </w:tcPr>
          <w:p>
            <w:r>
              <w:t>DGF</w:t>
            </w:r>
          </w:p>
        </w:tc>
        <w:tc>
          <w:tcPr>
            <w:tcW w:type="dxa" w:w="2880"/>
          </w:tcPr>
          <w:p>
            <w:r>
              <w:t>George Arthur Jennings</w:t>
            </w:r>
          </w:p>
        </w:tc>
        <w:tc>
          <w:tcPr>
            <w:tcW w:type="dxa" w:w="2880"/>
          </w:tcPr>
          <w:p>
            <w:r>
              <w:t>1897–1977</w:t>
            </w:r>
          </w:p>
        </w:tc>
      </w:tr>
      <w:tr>
        <w:tc>
          <w:tcPr>
            <w:tcW w:type="dxa" w:w="2880"/>
          </w:tcPr>
          <w:p>
            <w:r>
              <w:t>DGF</w:t>
            </w:r>
          </w:p>
        </w:tc>
        <w:tc>
          <w:tcPr>
            <w:tcW w:type="dxa" w:w="2880"/>
          </w:tcPr>
          <w:p>
            <w:r>
              <w:t>William Derrick ‘Mick’ Jennings</w:t>
            </w:r>
          </w:p>
        </w:tc>
        <w:tc>
          <w:tcPr>
            <w:tcW w:type="dxa" w:w="2880"/>
          </w:tcPr>
          <w:p>
            <w:r>
              <w:t>1921–2004</w:t>
            </w:r>
          </w:p>
        </w:tc>
      </w:tr>
      <w:tr>
        <w:tc>
          <w:tcPr>
            <w:tcW w:type="dxa" w:w="2880"/>
          </w:tcPr>
          <w:p>
            <w:r>
              <w:t>Self</w:t>
            </w:r>
          </w:p>
        </w:tc>
        <w:tc>
          <w:tcPr>
            <w:tcW w:type="dxa" w:w="2880"/>
          </w:tcPr>
          <w:p>
            <w:r>
              <w:t>Denise Marguerite Jennings</w:t>
            </w:r>
          </w:p>
        </w:tc>
        <w:tc>
          <w:tcPr>
            <w:tcW w:type="dxa" w:w="2880"/>
          </w:tcPr>
          <w:p>
            <w:r>
              <w:t>Living</w:t>
            </w:r>
          </w:p>
        </w:tc>
      </w:tr>
    </w:tbl>
    <w:p>
      <w:pPr>
        <w:pStyle w:val="Heading1"/>
      </w:pPr>
      <w:r>
        <w:t>Convergence Context</w:t>
      </w:r>
    </w:p>
    <w:p>
      <w:r>
        <w:t>- Sir James Butler of Ormond, Knight of the Garter, was married to Sow Sara Sabine Kavanagh, the sister of Gormfhlaith Eleanor McMurrough.</w:t>
        <w:br/>
        <w:t>- This reflects a significant dynastic merger of the Butler, Kavanagh, and McMurrough-FitzGerald families.</w:t>
        <w:br/>
        <w:t>- The O’Neill line from Gormfhlaith’s descendants continues through the Clandeboye branch, reinforced with multiple DNA segment confirmations.</w:t>
        <w:br/>
        <w:t>- Shared descent with Martin Kirkby from different grandsons of Con O’Neill (b. 1484) further supports segment-based convergence through cousin loops.</w:t>
      </w:r>
    </w:p>
    <w:p>
      <w:r>
        <w:t>This lineage unites Irish royal, Anglo-Norman, and Gaelic bloodlines into the Jennings convergence, and provides contextual reinforcement for segment-level validation, behavioral inheritance, and dynastic influence from the 15th century to the present.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